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FAFAF5" w14:textId="3CECD3FC" w:rsidR="009327CA" w:rsidRPr="00E13633" w:rsidRDefault="009327CA" w:rsidP="009327CA">
      <w:pPr>
        <w:pStyle w:val="Header"/>
        <w:keepLines/>
        <w:tabs>
          <w:tab w:val="right" w:pos="10440"/>
          <w:tab w:val="right" w:pos="13323"/>
        </w:tabs>
        <w:spacing w:before="60" w:after="60"/>
        <w:rPr>
          <w:rFonts w:ascii="Arial" w:eastAsia="SimSun" w:hAnsi="Arial" w:cs="Arial"/>
          <w:b/>
        </w:rPr>
      </w:pPr>
      <w:bookmarkStart w:id="0" w:name="Title"/>
      <w:bookmarkStart w:id="1" w:name="DocumentFor"/>
      <w:bookmarkEnd w:id="0"/>
      <w:bookmarkEnd w:id="1"/>
      <w:r w:rsidRPr="00E13633">
        <w:rPr>
          <w:rFonts w:ascii="Arial" w:hAnsi="Arial" w:cs="Arial"/>
          <w:b/>
        </w:rPr>
        <w:t>3GPP TSG-RAN WG4 Meeting #</w:t>
      </w:r>
      <w:r w:rsidRPr="00E13633">
        <w:rPr>
          <w:rFonts w:ascii="Arial" w:hAnsi="Arial" w:cs="Arial"/>
        </w:rPr>
        <w:t xml:space="preserve"> </w:t>
      </w:r>
      <w:r>
        <w:rPr>
          <w:rFonts w:ascii="Arial" w:hAnsi="Arial" w:cs="Arial"/>
          <w:b/>
        </w:rPr>
        <w:t>106</w:t>
      </w:r>
      <w:r w:rsidRPr="00E13633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 w:rsidR="006326D8" w:rsidRPr="006326D8">
        <w:rPr>
          <w:rFonts w:ascii="Arial" w:hAnsi="Arial" w:cs="Arial"/>
          <w:b/>
        </w:rPr>
        <w:t>R4-2300082</w:t>
      </w:r>
    </w:p>
    <w:p w14:paraId="587A49D1" w14:textId="77777777" w:rsidR="009327CA" w:rsidRPr="00E13633" w:rsidRDefault="009327CA" w:rsidP="009327CA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ascii="Arial" w:eastAsia="SimSun" w:hAnsi="Arial" w:cs="Arial"/>
          <w:b/>
        </w:rPr>
      </w:pPr>
      <w:r>
        <w:rPr>
          <w:rFonts w:ascii="Arial" w:eastAsia="SimSun" w:hAnsi="Arial" w:cs="Arial"/>
          <w:b/>
        </w:rPr>
        <w:t>Athens</w:t>
      </w:r>
      <w:r w:rsidRPr="00E13633">
        <w:rPr>
          <w:rFonts w:ascii="Arial" w:eastAsia="SimSun" w:hAnsi="Arial" w:cs="Arial"/>
          <w:b/>
        </w:rPr>
        <w:t>,</w:t>
      </w:r>
      <w:r>
        <w:rPr>
          <w:rFonts w:ascii="Arial" w:eastAsia="SimSun" w:hAnsi="Arial" w:cs="Arial"/>
          <w:b/>
        </w:rPr>
        <w:t xml:space="preserve"> Greece,</w:t>
      </w:r>
      <w:r w:rsidRPr="00E13633">
        <w:rPr>
          <w:rFonts w:ascii="Arial" w:eastAsia="SimSun" w:hAnsi="Arial" w:cs="Arial"/>
          <w:b/>
        </w:rPr>
        <w:t xml:space="preserve"> </w:t>
      </w:r>
      <w:r>
        <w:rPr>
          <w:rFonts w:ascii="Arial" w:eastAsia="SimSun" w:hAnsi="Arial" w:cs="Arial"/>
          <w:b/>
        </w:rPr>
        <w:t>February 27</w:t>
      </w:r>
      <w:r w:rsidRPr="00E13633">
        <w:rPr>
          <w:rFonts w:ascii="Arial" w:eastAsia="SimSun" w:hAnsi="Arial" w:cs="Arial"/>
          <w:b/>
        </w:rPr>
        <w:t xml:space="preserve"> – </w:t>
      </w:r>
      <w:r>
        <w:rPr>
          <w:rFonts w:ascii="Arial" w:eastAsia="SimSun" w:hAnsi="Arial" w:cs="Arial"/>
          <w:b/>
        </w:rPr>
        <w:t>March 3</w:t>
      </w:r>
      <w:r w:rsidRPr="00E13633">
        <w:rPr>
          <w:rFonts w:ascii="Arial" w:eastAsia="SimSun" w:hAnsi="Arial" w:cs="Arial"/>
          <w:b/>
        </w:rPr>
        <w:t>, 2022</w:t>
      </w:r>
    </w:p>
    <w:p w14:paraId="666EB555" w14:textId="77777777" w:rsidR="009327CA" w:rsidRDefault="009327CA" w:rsidP="009327CA">
      <w:pPr>
        <w:spacing w:after="180"/>
        <w:rPr>
          <w:rFonts w:ascii="Arial" w:eastAsia="SimSun" w:hAnsi="Arial" w:cs="Arial"/>
          <w:b/>
        </w:rPr>
      </w:pPr>
    </w:p>
    <w:p w14:paraId="402F78FD" w14:textId="54388E14" w:rsidR="009327CA" w:rsidRPr="00FC4644" w:rsidRDefault="009327CA" w:rsidP="009327CA">
      <w:pPr>
        <w:widowControl w:val="0"/>
        <w:spacing w:after="180"/>
        <w:jc w:val="both"/>
        <w:rPr>
          <w:rFonts w:ascii="Arial" w:hAnsi="Arial" w:cs="Arial"/>
          <w:b/>
          <w:noProof/>
          <w:lang w:val="sv-SE" w:eastAsia="en-US"/>
        </w:rPr>
      </w:pPr>
      <w:r w:rsidRPr="00FC4644">
        <w:rPr>
          <w:rFonts w:ascii="Arial" w:hAnsi="Arial" w:cs="Arial"/>
          <w:b/>
          <w:noProof/>
          <w:lang w:val="sv-SE" w:eastAsia="en-US"/>
        </w:rPr>
        <w:t>Agenda Item:</w:t>
      </w:r>
      <w:r w:rsidRPr="00FC4644">
        <w:rPr>
          <w:rFonts w:ascii="Arial" w:hAnsi="Arial" w:cs="Arial"/>
          <w:b/>
          <w:noProof/>
          <w:lang w:val="sv-SE" w:eastAsia="en-US"/>
        </w:rPr>
        <w:tab/>
      </w:r>
      <w:r>
        <w:rPr>
          <w:rFonts w:ascii="Arial" w:hAnsi="Arial" w:cs="Arial"/>
          <w:bCs/>
          <w:noProof/>
          <w:lang w:val="sv-SE" w:eastAsia="en-US"/>
        </w:rPr>
        <w:t>9.13.</w:t>
      </w:r>
      <w:r w:rsidR="00BE7A51">
        <w:rPr>
          <w:rFonts w:ascii="Arial" w:hAnsi="Arial" w:cs="Arial"/>
          <w:bCs/>
          <w:noProof/>
          <w:lang w:val="sv-SE" w:eastAsia="en-US"/>
        </w:rPr>
        <w:t>2.</w:t>
      </w:r>
      <w:r w:rsidR="003D596D">
        <w:rPr>
          <w:rFonts w:ascii="Arial" w:hAnsi="Arial" w:cs="Arial"/>
          <w:bCs/>
          <w:noProof/>
          <w:lang w:val="sv-SE" w:eastAsia="en-US"/>
        </w:rPr>
        <w:t>2</w:t>
      </w:r>
    </w:p>
    <w:p w14:paraId="78414617" w14:textId="77777777" w:rsidR="009327CA" w:rsidRPr="00CF6EC9" w:rsidRDefault="009327CA" w:rsidP="009327CA">
      <w:pPr>
        <w:widowControl w:val="0"/>
        <w:spacing w:after="180"/>
        <w:jc w:val="both"/>
        <w:rPr>
          <w:rFonts w:ascii="Arial" w:hAnsi="Arial" w:cs="Arial"/>
          <w:b/>
          <w:noProof/>
          <w:lang w:eastAsia="en-US"/>
        </w:rPr>
      </w:pPr>
      <w:r w:rsidRPr="00CF6EC9">
        <w:rPr>
          <w:rFonts w:ascii="Arial" w:hAnsi="Arial" w:cs="Arial"/>
          <w:b/>
          <w:noProof/>
          <w:lang w:eastAsia="en-US"/>
        </w:rPr>
        <w:t xml:space="preserve">Source: </w:t>
      </w:r>
      <w:r w:rsidRPr="00CF6EC9">
        <w:rPr>
          <w:rFonts w:ascii="Arial" w:hAnsi="Arial" w:cs="Arial"/>
          <w:b/>
          <w:noProof/>
          <w:lang w:eastAsia="en-US"/>
        </w:rPr>
        <w:tab/>
      </w:r>
      <w:r w:rsidRPr="00CF6EC9">
        <w:rPr>
          <w:rFonts w:ascii="Arial" w:hAnsi="Arial" w:cs="Arial"/>
          <w:b/>
          <w:noProof/>
          <w:lang w:eastAsia="en-US"/>
        </w:rPr>
        <w:tab/>
      </w:r>
      <w:r w:rsidRPr="00CF6EC9">
        <w:rPr>
          <w:rFonts w:ascii="Arial" w:hAnsi="Arial"/>
          <w:bCs/>
          <w:noProof/>
          <w:lang w:eastAsia="en-US"/>
        </w:rPr>
        <w:t>Qualcomm Incorporated</w:t>
      </w:r>
    </w:p>
    <w:p w14:paraId="7B2AEBCB" w14:textId="6FDC2354" w:rsidR="009327CA" w:rsidRPr="00C757FF" w:rsidRDefault="009327CA" w:rsidP="009327CA">
      <w:pPr>
        <w:widowControl w:val="0"/>
        <w:spacing w:after="180"/>
        <w:ind w:left="2160" w:hanging="2160"/>
        <w:jc w:val="both"/>
        <w:rPr>
          <w:rFonts w:ascii="Arial" w:hAnsi="Arial"/>
          <w:bCs/>
          <w:noProof/>
          <w:lang w:eastAsia="en-US"/>
        </w:rPr>
      </w:pPr>
      <w:r w:rsidRPr="00CF6EC9">
        <w:rPr>
          <w:rFonts w:ascii="Arial" w:hAnsi="Arial" w:cs="Arial"/>
          <w:b/>
          <w:noProof/>
          <w:lang w:eastAsia="en-US"/>
        </w:rPr>
        <w:t xml:space="preserve">Title: </w:t>
      </w:r>
      <w:r w:rsidRPr="00CF6EC9">
        <w:rPr>
          <w:rFonts w:ascii="Arial" w:hAnsi="Arial" w:cs="Arial"/>
          <w:b/>
          <w:noProof/>
          <w:lang w:eastAsia="en-US"/>
        </w:rPr>
        <w:tab/>
      </w:r>
      <w:r w:rsidRPr="005B024A">
        <w:rPr>
          <w:rFonts w:ascii="Arial" w:hAnsi="Arial"/>
          <w:bCs/>
          <w:noProof/>
          <w:lang w:eastAsia="en-US"/>
        </w:rPr>
        <w:t xml:space="preserve">Discussion on </w:t>
      </w:r>
      <w:r>
        <w:rPr>
          <w:rFonts w:ascii="Arial" w:hAnsi="Arial"/>
          <w:bCs/>
          <w:noProof/>
          <w:lang w:eastAsia="en-US"/>
        </w:rPr>
        <w:t>ATG UE Tx reuqirements</w:t>
      </w:r>
    </w:p>
    <w:p w14:paraId="38A4CC4C" w14:textId="77777777" w:rsidR="009327CA" w:rsidRPr="00BE164F" w:rsidRDefault="009327CA" w:rsidP="009327CA">
      <w:pPr>
        <w:widowControl w:val="0"/>
        <w:spacing w:after="180"/>
        <w:jc w:val="both"/>
        <w:rPr>
          <w:rFonts w:ascii="Arial" w:hAnsi="Arial" w:cs="Arial"/>
          <w:b/>
          <w:noProof/>
          <w:lang w:eastAsia="en-US"/>
        </w:rPr>
      </w:pPr>
      <w:r w:rsidRPr="00CF6EC9">
        <w:rPr>
          <w:rFonts w:ascii="Arial" w:hAnsi="Arial" w:cs="Arial"/>
          <w:b/>
          <w:noProof/>
          <w:lang w:eastAsia="en-US"/>
        </w:rPr>
        <w:t>Document for:</w:t>
      </w:r>
      <w:r w:rsidRPr="00CF6EC9">
        <w:rPr>
          <w:rFonts w:ascii="Arial" w:hAnsi="Arial" w:cs="Arial"/>
          <w:b/>
          <w:noProof/>
          <w:lang w:eastAsia="en-US"/>
        </w:rPr>
        <w:tab/>
      </w:r>
      <w:r>
        <w:rPr>
          <w:rFonts w:ascii="Arial" w:hAnsi="Arial" w:cs="Arial"/>
          <w:bCs/>
          <w:noProof/>
          <w:lang w:eastAsia="en-US"/>
        </w:rPr>
        <w:t>Approval</w:t>
      </w:r>
    </w:p>
    <w:p w14:paraId="32982D62" w14:textId="77777777" w:rsidR="00AC66EA" w:rsidRDefault="00AC66EA" w:rsidP="00AC66EA">
      <w:pPr>
        <w:spacing w:after="180"/>
      </w:pPr>
    </w:p>
    <w:p w14:paraId="1311C97E" w14:textId="77777777" w:rsidR="00AC66EA" w:rsidRDefault="00AC66EA" w:rsidP="00AC66EA">
      <w:pPr>
        <w:pStyle w:val="Heading1"/>
      </w:pPr>
      <w:r>
        <w:t xml:space="preserve">1 </w:t>
      </w:r>
      <w:r w:rsidRPr="004D3578">
        <w:t>Introduction</w:t>
      </w:r>
      <w:r>
        <w:t xml:space="preserve"> </w:t>
      </w:r>
    </w:p>
    <w:p w14:paraId="2C6BA5CA" w14:textId="41843118" w:rsidR="00AC66EA" w:rsidRDefault="00AC66EA" w:rsidP="00AC66EA">
      <w:pPr>
        <w:spacing w:after="180"/>
        <w:jc w:val="both"/>
      </w:pPr>
      <w:r>
        <w:t>In RAN4#105, the UE RF requirements for ATG were discussed and the WF was approved in [1]. In this paper, we will provide our views on ATG UE Tx requirements.</w:t>
      </w:r>
    </w:p>
    <w:p w14:paraId="534D9C49" w14:textId="23152246" w:rsidR="00AC66EA" w:rsidRDefault="00AC66EA" w:rsidP="00AC66EA">
      <w:pPr>
        <w:pStyle w:val="Heading1"/>
      </w:pPr>
      <w:r>
        <w:t xml:space="preserve">2 Discussion </w:t>
      </w:r>
    </w:p>
    <w:p w14:paraId="34A61CC0" w14:textId="766F2BED" w:rsidR="000D1B63" w:rsidRDefault="000D1B63" w:rsidP="000D1B63">
      <w:pPr>
        <w:pStyle w:val="Heading2"/>
        <w:spacing w:after="240"/>
        <w:rPr>
          <w:rFonts w:ascii="Arial" w:hAnsi="Arial" w:cs="Arial"/>
          <w:color w:val="auto"/>
          <w:sz w:val="32"/>
          <w:szCs w:val="32"/>
        </w:rPr>
      </w:pPr>
      <w:r w:rsidRPr="0004132B">
        <w:rPr>
          <w:rFonts w:ascii="Arial" w:hAnsi="Arial" w:cs="Arial"/>
          <w:color w:val="auto"/>
          <w:sz w:val="32"/>
          <w:szCs w:val="32"/>
        </w:rPr>
        <w:t xml:space="preserve">2.1 </w:t>
      </w:r>
      <w:r>
        <w:rPr>
          <w:rFonts w:ascii="Arial" w:hAnsi="Arial" w:cs="Arial"/>
          <w:color w:val="auto"/>
          <w:sz w:val="32"/>
          <w:szCs w:val="32"/>
        </w:rPr>
        <w:t>MoP requirements</w:t>
      </w:r>
    </w:p>
    <w:p w14:paraId="21F520FB" w14:textId="0632AA47" w:rsidR="00AF4776" w:rsidRPr="00AF4776" w:rsidRDefault="00AF4776" w:rsidP="00AF4776">
      <w:r>
        <w:t xml:space="preserve">The agreements on ATG UE MoP requirements </w:t>
      </w:r>
      <w:r w:rsidR="00541A7F">
        <w:rPr>
          <w:rFonts w:eastAsiaTheme="minorEastAsia" w:hint="eastAsia"/>
        </w:rPr>
        <w:t>w</w:t>
      </w:r>
      <w:r w:rsidR="00541A7F">
        <w:rPr>
          <w:rFonts w:eastAsiaTheme="minorEastAsia"/>
        </w:rPr>
        <w:t xml:space="preserve">ere captured </w:t>
      </w:r>
      <w:r>
        <w:t>in WF</w:t>
      </w:r>
      <w:r w:rsidR="00541A7F">
        <w:t xml:space="preserve"> [1]:</w:t>
      </w:r>
    </w:p>
    <w:p w14:paraId="4654E0CB" w14:textId="77777777" w:rsidR="00AF4776" w:rsidRPr="00541A7F" w:rsidRDefault="00AF4776" w:rsidP="00541A7F">
      <w:pPr>
        <w:pStyle w:val="ListParagraph"/>
        <w:numPr>
          <w:ilvl w:val="0"/>
          <w:numId w:val="5"/>
        </w:numPr>
        <w:rPr>
          <w:i/>
          <w:iCs/>
        </w:rPr>
      </w:pPr>
      <w:r w:rsidRPr="00541A7F">
        <w:rPr>
          <w:i/>
          <w:iCs/>
        </w:rPr>
        <w:t>RAN4 can specify a range of ATG UE MOP, e.g.. 29dBm ~ FFS. ATG UE can indicate its MOP by using UE capability. The tolerance of ATG UE MOP can be ±2dB.</w:t>
      </w:r>
    </w:p>
    <w:p w14:paraId="4140A4FC" w14:textId="77777777" w:rsidR="00AF4776" w:rsidRPr="00541A7F" w:rsidRDefault="00AF4776" w:rsidP="00541A7F">
      <w:pPr>
        <w:pStyle w:val="ListParagraph"/>
        <w:numPr>
          <w:ilvl w:val="0"/>
          <w:numId w:val="5"/>
        </w:numPr>
        <w:rPr>
          <w:i/>
          <w:iCs/>
        </w:rPr>
      </w:pPr>
      <w:r w:rsidRPr="00541A7F">
        <w:rPr>
          <w:i/>
          <w:iCs/>
        </w:rPr>
        <w:t>The indicated capability takes into account the band in which the UE is operating and any NS value signalled.</w:t>
      </w:r>
    </w:p>
    <w:p w14:paraId="68063E32" w14:textId="5A668B1D" w:rsidR="00AF4776" w:rsidRDefault="00AF4776" w:rsidP="00541A7F">
      <w:pPr>
        <w:pStyle w:val="ListParagraph"/>
        <w:numPr>
          <w:ilvl w:val="0"/>
          <w:numId w:val="5"/>
        </w:numPr>
        <w:rPr>
          <w:i/>
          <w:iCs/>
        </w:rPr>
      </w:pPr>
      <w:r w:rsidRPr="00541A7F">
        <w:rPr>
          <w:i/>
          <w:iCs/>
        </w:rPr>
        <w:t>It is not precluded that there is no upper boundary for MOP.</w:t>
      </w:r>
    </w:p>
    <w:p w14:paraId="2AF3B38C" w14:textId="75F71F19" w:rsidR="00210401" w:rsidRDefault="00210401" w:rsidP="00210401">
      <w:pPr>
        <w:rPr>
          <w:i/>
          <w:iCs/>
        </w:rPr>
      </w:pPr>
    </w:p>
    <w:p w14:paraId="2470F10E" w14:textId="09ED7122" w:rsidR="00210401" w:rsidRDefault="00A17FBD" w:rsidP="00787850">
      <w:pPr>
        <w:jc w:val="both"/>
      </w:pPr>
      <w:r>
        <w:t xml:space="preserve">The </w:t>
      </w:r>
      <w:r w:rsidR="007F598C">
        <w:t>upper boundary for</w:t>
      </w:r>
      <w:r w:rsidR="007E22EA">
        <w:t xml:space="preserve"> ATG UE</w:t>
      </w:r>
      <w:r w:rsidR="007F598C">
        <w:t xml:space="preserve"> MoP has not </w:t>
      </w:r>
      <w:r w:rsidR="00C40D71">
        <w:t xml:space="preserve">been </w:t>
      </w:r>
      <w:r w:rsidR="007F598C">
        <w:t xml:space="preserve">decided. </w:t>
      </w:r>
      <w:r w:rsidR="00787850">
        <w:t>While i</w:t>
      </w:r>
      <w:r w:rsidR="007F598C">
        <w:t xml:space="preserve">n co-existence study, </w:t>
      </w:r>
      <w:r w:rsidR="00625F05">
        <w:t>it is assumed that the MoP of ATG UE are 40dBm for 2GHz and 26dBm for 4GHz respectively</w:t>
      </w:r>
      <w:r w:rsidR="00D75DCF">
        <w:t xml:space="preserve"> based on link budget </w:t>
      </w:r>
      <w:r w:rsidR="00173351">
        <w:t>analysis.</w:t>
      </w:r>
    </w:p>
    <w:p w14:paraId="4412CCF0" w14:textId="6AE14945" w:rsidR="00173351" w:rsidRPr="00210401" w:rsidRDefault="000827C8" w:rsidP="00787850">
      <w:pPr>
        <w:jc w:val="both"/>
      </w:pPr>
      <w:r>
        <w:t xml:space="preserve">It is worth noting that </w:t>
      </w:r>
      <w:r w:rsidR="00070E3F">
        <w:t xml:space="preserve">the transmit power from ATG UE will cause the co-channel interference </w:t>
      </w:r>
      <w:r w:rsidR="00C100F2">
        <w:t xml:space="preserve">to TN network. Figure 1 shows the </w:t>
      </w:r>
      <w:r w:rsidR="009C2AC5">
        <w:t>illustration of co-channel interference from ATG UE to TN network.</w:t>
      </w:r>
    </w:p>
    <w:p w14:paraId="20D62F3D" w14:textId="53DEE949" w:rsidR="00AC66EA" w:rsidRPr="00AF4776" w:rsidRDefault="00AC66EA" w:rsidP="00AC66EA">
      <w:pPr>
        <w:rPr>
          <w:lang w:eastAsia="ko-KR"/>
        </w:rPr>
      </w:pPr>
    </w:p>
    <w:p w14:paraId="29A88337" w14:textId="4ACBB8FC" w:rsidR="00AC66EA" w:rsidRDefault="009C2AC5" w:rsidP="00A768EE">
      <w:pPr>
        <w:jc w:val="center"/>
      </w:pPr>
      <w:r>
        <w:object w:dxaOrig="10934" w:dyaOrig="4868" w14:anchorId="0B2FB24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0.5pt;height:125pt" o:ole="">
            <v:imagedata r:id="rId7" o:title=""/>
          </v:shape>
          <o:OLEObject Type="Embed" ProgID="Visio.Drawing.15" ShapeID="_x0000_i1025" DrawAspect="Content" ObjectID="_1738170459" r:id="rId8"/>
        </w:object>
      </w:r>
    </w:p>
    <w:p w14:paraId="7455E450" w14:textId="725F0984" w:rsidR="00B905B8" w:rsidRPr="00161DC8" w:rsidRDefault="00B905B8" w:rsidP="00A768EE">
      <w:pPr>
        <w:jc w:val="center"/>
        <w:rPr>
          <w:sz w:val="22"/>
          <w:szCs w:val="22"/>
          <w:lang w:val="en-GB" w:eastAsia="ko-KR"/>
        </w:rPr>
      </w:pPr>
      <w:r w:rsidRPr="00161DC8">
        <w:rPr>
          <w:sz w:val="22"/>
          <w:szCs w:val="22"/>
        </w:rPr>
        <w:t>Figure 1:</w:t>
      </w:r>
      <w:r w:rsidR="004D5B8E" w:rsidRPr="00161DC8">
        <w:rPr>
          <w:sz w:val="22"/>
          <w:szCs w:val="22"/>
        </w:rPr>
        <w:t xml:space="preserve"> </w:t>
      </w:r>
      <w:r w:rsidR="00AB6F46" w:rsidRPr="00161DC8">
        <w:rPr>
          <w:sz w:val="22"/>
          <w:szCs w:val="22"/>
        </w:rPr>
        <w:t>The illustration of c</w:t>
      </w:r>
      <w:r w:rsidR="004D5B8E" w:rsidRPr="00161DC8">
        <w:rPr>
          <w:sz w:val="22"/>
          <w:szCs w:val="22"/>
        </w:rPr>
        <w:t xml:space="preserve">o-channel </w:t>
      </w:r>
      <w:r w:rsidR="00C835C2" w:rsidRPr="00161DC8">
        <w:rPr>
          <w:sz w:val="22"/>
          <w:szCs w:val="22"/>
        </w:rPr>
        <w:t>in</w:t>
      </w:r>
      <w:r w:rsidR="00AB6F46" w:rsidRPr="00161DC8">
        <w:rPr>
          <w:sz w:val="22"/>
          <w:szCs w:val="22"/>
        </w:rPr>
        <w:t>terference from ATG UE</w:t>
      </w:r>
    </w:p>
    <w:p w14:paraId="0A733E55" w14:textId="2800840D" w:rsidR="00227571" w:rsidRDefault="009C2AC5" w:rsidP="00226CC8">
      <w:pPr>
        <w:spacing w:after="180"/>
        <w:jc w:val="both"/>
      </w:pPr>
      <w:r>
        <w:lastRenderedPageBreak/>
        <w:t>To analyze the interference level</w:t>
      </w:r>
      <w:r w:rsidR="00356911">
        <w:t xml:space="preserve">, we </w:t>
      </w:r>
      <w:r w:rsidR="004F3F19">
        <w:t xml:space="preserve">consider a scenario </w:t>
      </w:r>
      <w:r w:rsidR="002C2B74">
        <w:t>in which t</w:t>
      </w:r>
      <w:r w:rsidR="00356911">
        <w:t>he uptil</w:t>
      </w:r>
      <w:r w:rsidR="00EA6C79">
        <w:t>t</w:t>
      </w:r>
      <w:r w:rsidR="00356911">
        <w:t xml:space="preserve"> of </w:t>
      </w:r>
      <w:r w:rsidR="00623188" w:rsidRPr="00226CC8">
        <w:t xml:space="preserve">TN </w:t>
      </w:r>
      <w:r w:rsidR="00356911">
        <w:t>BS</w:t>
      </w:r>
      <w:r w:rsidR="00802FF8" w:rsidRPr="00226CC8">
        <w:t xml:space="preserve"> is around </w:t>
      </w:r>
      <w:r w:rsidR="00930CB2" w:rsidRPr="00226CC8">
        <w:t>8.5</w:t>
      </w:r>
      <w:r w:rsidR="00802FF8" w:rsidRPr="00226CC8">
        <w:t>deg</w:t>
      </w:r>
      <w:r w:rsidR="00F329F2" w:rsidRPr="00226CC8">
        <w:t xml:space="preserve"> </w:t>
      </w:r>
      <w:r w:rsidR="00787850">
        <w:t>with the assumption that</w:t>
      </w:r>
      <w:r w:rsidR="00F329F2" w:rsidRPr="00226CC8">
        <w:t xml:space="preserve"> the altitude of aircraft is 3km and the distance between ATG UE and TN BS is 20km</w:t>
      </w:r>
      <w:r w:rsidR="00802FF8" w:rsidRPr="00226CC8">
        <w:t xml:space="preserve">. </w:t>
      </w:r>
      <w:r w:rsidR="00787850">
        <w:t>In this case, t</w:t>
      </w:r>
      <w:r w:rsidR="00802FF8" w:rsidRPr="00226CC8">
        <w:t xml:space="preserve">he </w:t>
      </w:r>
      <w:r w:rsidR="00636BB3" w:rsidRPr="00226CC8">
        <w:t>downtilt</w:t>
      </w:r>
      <w:r w:rsidR="00787850">
        <w:t xml:space="preserve"> for TN BS</w:t>
      </w:r>
      <w:r w:rsidR="00636BB3" w:rsidRPr="00226CC8">
        <w:t xml:space="preserve"> is </w:t>
      </w:r>
      <w:r w:rsidR="00D31245" w:rsidRPr="00226CC8">
        <w:t>4.8</w:t>
      </w:r>
      <w:r w:rsidR="00636BB3" w:rsidRPr="00226CC8">
        <w:t xml:space="preserve">deg </w:t>
      </w:r>
      <w:r w:rsidR="00787850">
        <w:t>with the assumptions of</w:t>
      </w:r>
      <w:r w:rsidR="00EF4E66" w:rsidRPr="00226CC8">
        <w:t xml:space="preserve"> 0.9km</w:t>
      </w:r>
      <w:r w:rsidR="00226CC8" w:rsidRPr="00226CC8">
        <w:t xml:space="preserve"> </w:t>
      </w:r>
      <w:r w:rsidR="00226CC8" w:rsidRPr="00226CC8">
        <w:rPr>
          <w:rFonts w:hint="eastAsia"/>
        </w:rPr>
        <w:t>ISD</w:t>
      </w:r>
      <w:r w:rsidR="00EF4E66" w:rsidRPr="00226CC8">
        <w:t xml:space="preserve"> and 25m BS height</w:t>
      </w:r>
      <w:r w:rsidR="00636BB3" w:rsidRPr="00226CC8">
        <w:t xml:space="preserve">. </w:t>
      </w:r>
      <w:r w:rsidR="00787850">
        <w:t>T</w:t>
      </w:r>
      <w:r w:rsidR="002C2B74">
        <w:t xml:space="preserve">he </w:t>
      </w:r>
      <w:r w:rsidR="00EF4E66" w:rsidRPr="00226CC8">
        <w:t xml:space="preserve">TN </w:t>
      </w:r>
      <w:r w:rsidR="009F7566" w:rsidRPr="00226CC8">
        <w:t xml:space="preserve">UE </w:t>
      </w:r>
      <w:r w:rsidR="00EF4E66" w:rsidRPr="00226CC8">
        <w:t>is</w:t>
      </w:r>
      <w:r w:rsidR="009F7566" w:rsidRPr="00226CC8">
        <w:t xml:space="preserve"> at the cell edge.</w:t>
      </w:r>
      <w:r w:rsidR="0084515E" w:rsidRPr="00226CC8">
        <w:t xml:space="preserve"> </w:t>
      </w:r>
      <w:r w:rsidR="00567F62">
        <w:t>The carrier frequency is 2GHz.</w:t>
      </w:r>
    </w:p>
    <w:p w14:paraId="696FC4E7" w14:textId="30882886" w:rsidR="00227571" w:rsidRDefault="00842377" w:rsidP="00227571">
      <w:pPr>
        <w:pStyle w:val="ListParagraph"/>
        <w:numPr>
          <w:ilvl w:val="0"/>
          <w:numId w:val="2"/>
        </w:numPr>
        <w:spacing w:after="180"/>
        <w:jc w:val="both"/>
      </w:pPr>
      <w:r>
        <w:t>Co-channel i</w:t>
      </w:r>
      <w:r w:rsidR="001C6C32">
        <w:t>nterference a</w:t>
      </w:r>
      <w:r w:rsidR="00227571" w:rsidRPr="00782400">
        <w:t>nalysis -</w:t>
      </w:r>
      <w:r w:rsidR="00227571">
        <w:t>1</w:t>
      </w:r>
    </w:p>
    <w:p w14:paraId="3928C429" w14:textId="777EFEF6" w:rsidR="00B91076" w:rsidRDefault="00227571" w:rsidP="00227571">
      <w:pPr>
        <w:spacing w:after="180"/>
        <w:jc w:val="both"/>
      </w:pPr>
      <w:r w:rsidRPr="00782400">
        <w:t>The pathloss</w:t>
      </w:r>
      <w:r w:rsidR="00B91076">
        <w:t xml:space="preserve"> between ATG UE to TN BS is 124dB with FSPL model. </w:t>
      </w:r>
      <w:r w:rsidR="00DA37DB">
        <w:t>T</w:t>
      </w:r>
      <w:r w:rsidR="00B91076">
        <w:t xml:space="preserve">he pathloss between TN UE to TN BS is </w:t>
      </w:r>
      <w:r w:rsidR="00DC5015">
        <w:t>around</w:t>
      </w:r>
      <w:r w:rsidR="00DA37DB">
        <w:t xml:space="preserve"> </w:t>
      </w:r>
      <w:r w:rsidR="00B91076">
        <w:t xml:space="preserve">116dB </w:t>
      </w:r>
      <w:r w:rsidR="000D1670">
        <w:t>with NLOS model</w:t>
      </w:r>
      <w:r w:rsidRPr="00782400">
        <w:t xml:space="preserve"> </w:t>
      </w:r>
      <w:r w:rsidR="00DC5015">
        <w:t>defined in TR</w:t>
      </w:r>
      <w:r w:rsidR="00C37B4D">
        <w:t xml:space="preserve"> 38.876. Therefore, </w:t>
      </w:r>
      <w:r w:rsidR="00842377">
        <w:t xml:space="preserve">the difference is </w:t>
      </w:r>
      <w:r w:rsidR="00842377" w:rsidRPr="00782400">
        <w:t>124-116=8dB</w:t>
      </w:r>
      <w:r w:rsidR="00842377">
        <w:t>.</w:t>
      </w:r>
    </w:p>
    <w:p w14:paraId="7359B1B9" w14:textId="36D6BBEB" w:rsidR="00842377" w:rsidRDefault="00F8045C" w:rsidP="00227571">
      <w:pPr>
        <w:spacing w:after="180"/>
        <w:jc w:val="both"/>
      </w:pPr>
      <w:r>
        <w:t xml:space="preserve">The </w:t>
      </w:r>
      <w:r w:rsidRPr="00782400">
        <w:t>antenna gain</w:t>
      </w:r>
      <w:r w:rsidR="00D83416">
        <w:t xml:space="preserve"> </w:t>
      </w:r>
      <w:r w:rsidRPr="00782400">
        <w:t xml:space="preserve">difference </w:t>
      </w:r>
      <w:r w:rsidR="00B3246A">
        <w:t>at TN BS receiver</w:t>
      </w:r>
      <w:r w:rsidR="00B3246A" w:rsidRPr="00782400">
        <w:t xml:space="preserve"> </w:t>
      </w:r>
      <w:r w:rsidRPr="00782400">
        <w:t xml:space="preserve">between ATG UE to TN BS and TN UE to TN BS is </w:t>
      </w:r>
      <w:r>
        <w:t>around</w:t>
      </w:r>
      <w:r w:rsidRPr="00782400">
        <w:t xml:space="preserve"> 8dB per antenna pattern</w:t>
      </w:r>
      <w:r>
        <w:t xml:space="preserve"> shown in Figure 2</w:t>
      </w:r>
      <w:r w:rsidR="00D62B3E">
        <w:t xml:space="preserve"> assuming</w:t>
      </w:r>
      <w:r w:rsidR="00AC5E0D">
        <w:t xml:space="preserve"> </w:t>
      </w:r>
      <w:r w:rsidR="00AC5E0D" w:rsidRPr="00B44EB1">
        <w:t xml:space="preserve">TN BS </w:t>
      </w:r>
      <w:r w:rsidR="00B44EB1" w:rsidRPr="00B44EB1">
        <w:t xml:space="preserve">is </w:t>
      </w:r>
      <w:r w:rsidR="00F60472">
        <w:t>steering</w:t>
      </w:r>
      <w:r w:rsidR="00B44EB1" w:rsidRPr="00B44EB1">
        <w:t xml:space="preserve"> </w:t>
      </w:r>
      <w:r w:rsidR="002C28A5">
        <w:t>at</w:t>
      </w:r>
      <w:r w:rsidR="00B44EB1" w:rsidRPr="00B44EB1">
        <w:t xml:space="preserve"> TN UE </w:t>
      </w:r>
      <w:r w:rsidR="00F60472">
        <w:t>on the</w:t>
      </w:r>
      <w:r w:rsidR="00B44EB1" w:rsidRPr="00B44EB1">
        <w:t xml:space="preserve"> boresight</w:t>
      </w:r>
      <w:r w:rsidR="00B44EB1">
        <w:t xml:space="preserve"> direction</w:t>
      </w:r>
      <w:r w:rsidR="00567F62">
        <w:t>.</w:t>
      </w:r>
    </w:p>
    <w:p w14:paraId="7673BF3F" w14:textId="44FD964C" w:rsidR="00B91076" w:rsidRDefault="00F8045C" w:rsidP="00F8045C">
      <w:pPr>
        <w:spacing w:after="180"/>
        <w:jc w:val="center"/>
      </w:pPr>
      <w:r>
        <w:rPr>
          <w:noProof/>
        </w:rPr>
        <w:drawing>
          <wp:inline distT="0" distB="0" distL="0" distR="0" wp14:anchorId="1CB836E8" wp14:editId="4BC249B0">
            <wp:extent cx="4793524" cy="2751667"/>
            <wp:effectExtent l="0" t="0" r="0" b="0"/>
            <wp:docPr id="1" name="Picture 2">
              <a:extLst xmlns:a="http://schemas.openxmlformats.org/drawingml/2006/main">
                <a:ext uri="{FF2B5EF4-FFF2-40B4-BE49-F238E27FC236}">
                  <a16:creationId xmlns:a16="http://schemas.microsoft.com/office/drawing/2014/main" id="{B00622AC-0030-2FC0-021E-C2754DEDB6E5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2">
                      <a:extLst>
                        <a:ext uri="{FF2B5EF4-FFF2-40B4-BE49-F238E27FC236}">
                          <a16:creationId xmlns:a16="http://schemas.microsoft.com/office/drawing/2014/main" id="{B00622AC-0030-2FC0-021E-C2754DEDB6E5}"/>
                        </a:ext>
                      </a:extLst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99013" cy="275481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4D02C12" w14:textId="77777777" w:rsidR="0086516D" w:rsidRPr="00161DC8" w:rsidRDefault="00F8045C" w:rsidP="00F8045C">
      <w:pPr>
        <w:spacing w:after="180"/>
        <w:jc w:val="center"/>
        <w:rPr>
          <w:sz w:val="22"/>
          <w:szCs w:val="22"/>
        </w:rPr>
      </w:pPr>
      <w:r w:rsidRPr="00161DC8">
        <w:rPr>
          <w:sz w:val="22"/>
          <w:szCs w:val="22"/>
        </w:rPr>
        <w:t xml:space="preserve">Figure 2: Antenna gain for elevation </w:t>
      </w:r>
    </w:p>
    <w:p w14:paraId="102D9C0A" w14:textId="14A0A079" w:rsidR="004F23D7" w:rsidRPr="005C2A33" w:rsidRDefault="009E4992" w:rsidP="005C2A33">
      <w:pPr>
        <w:spacing w:after="180"/>
        <w:jc w:val="both"/>
      </w:pPr>
      <w:r>
        <w:t xml:space="preserve">However, </w:t>
      </w:r>
      <w:r w:rsidR="00227571" w:rsidRPr="00782400">
        <w:t xml:space="preserve">the transmit power of ATG UE would be </w:t>
      </w:r>
      <w:r w:rsidR="00567F62">
        <w:t>17</w:t>
      </w:r>
      <w:r w:rsidR="00227571" w:rsidRPr="00782400">
        <w:t xml:space="preserve">dB </w:t>
      </w:r>
      <w:r w:rsidR="00227571">
        <w:t>(</w:t>
      </w:r>
      <w:r w:rsidR="00227571" w:rsidRPr="00567F62">
        <w:t>4</w:t>
      </w:r>
      <w:r w:rsidR="00567F62">
        <w:t>0</w:t>
      </w:r>
      <w:r>
        <w:t>dBm</w:t>
      </w:r>
      <w:r w:rsidR="00227571">
        <w:t xml:space="preserve">-23dBm) </w:t>
      </w:r>
      <w:r w:rsidR="00227571" w:rsidRPr="00782400">
        <w:t>higher than transmit power of TN UE</w:t>
      </w:r>
      <w:r w:rsidR="00A85248">
        <w:t>.</w:t>
      </w:r>
      <w:r w:rsidR="00227571" w:rsidRPr="00782400">
        <w:t xml:space="preserve"> </w:t>
      </w:r>
      <w:r w:rsidR="00A85248" w:rsidRPr="005C2A33">
        <w:t xml:space="preserve">Therefore, the co-channel interference would be comparable with </w:t>
      </w:r>
      <w:r w:rsidR="005C2A33" w:rsidRPr="005C2A33">
        <w:t>received signal level</w:t>
      </w:r>
      <w:r w:rsidR="005C2A33">
        <w:rPr>
          <w:rFonts w:ascii="SimSun" w:eastAsia="SimSun" w:hAnsi="SimSun" w:cs="SimSun" w:hint="eastAsia"/>
        </w:rPr>
        <w:t>.</w:t>
      </w:r>
    </w:p>
    <w:p w14:paraId="28511C3F" w14:textId="428C4F13" w:rsidR="00A524A3" w:rsidRPr="00226CC8" w:rsidRDefault="00842377" w:rsidP="005C2A33">
      <w:pPr>
        <w:pStyle w:val="ListParagraph"/>
        <w:numPr>
          <w:ilvl w:val="0"/>
          <w:numId w:val="2"/>
        </w:numPr>
        <w:spacing w:after="180"/>
        <w:jc w:val="both"/>
      </w:pPr>
      <w:r>
        <w:t>Co-channel i</w:t>
      </w:r>
      <w:r w:rsidR="001C6C32">
        <w:t>nterference a</w:t>
      </w:r>
      <w:r w:rsidR="004F23D7" w:rsidRPr="00226CC8">
        <w:t>nalysis -</w:t>
      </w:r>
      <w:r w:rsidR="00227571">
        <w:t>2</w:t>
      </w:r>
    </w:p>
    <w:p w14:paraId="0EB32D5B" w14:textId="36FE68B7" w:rsidR="00714008" w:rsidRPr="00226CC8" w:rsidRDefault="00714008" w:rsidP="00226CC8">
      <w:pPr>
        <w:spacing w:after="180"/>
        <w:jc w:val="both"/>
      </w:pPr>
      <w:r w:rsidRPr="00226CC8">
        <w:t>For AAS antenna (non-subarray</w:t>
      </w:r>
      <w:r w:rsidR="009E4992" w:rsidRPr="00226CC8">
        <w:t>)</w:t>
      </w:r>
      <w:r w:rsidR="005A310C">
        <w:t xml:space="preserve">, </w:t>
      </w:r>
      <w:r w:rsidR="009E4992" w:rsidRPr="00226CC8">
        <w:t>we</w:t>
      </w:r>
      <w:r w:rsidR="00BD4815" w:rsidRPr="00226CC8">
        <w:t xml:space="preserve"> assume the </w:t>
      </w:r>
      <w:r w:rsidR="00152137" w:rsidRPr="00226CC8">
        <w:t xml:space="preserve">TN BS </w:t>
      </w:r>
      <w:r w:rsidR="005040FC">
        <w:t xml:space="preserve">is </w:t>
      </w:r>
      <w:r w:rsidR="00152137" w:rsidRPr="00226CC8">
        <w:t xml:space="preserve">steering at TN UE </w:t>
      </w:r>
      <w:r w:rsidR="00487B18">
        <w:t>which is at cell edge</w:t>
      </w:r>
      <w:r w:rsidR="00152137" w:rsidRPr="00226CC8">
        <w:t xml:space="preserve">, then the </w:t>
      </w:r>
      <w:r w:rsidR="00D67E69" w:rsidRPr="00226CC8">
        <w:t xml:space="preserve">antenna gain </w:t>
      </w:r>
      <w:r w:rsidR="00BD34AA">
        <w:t xml:space="preserve">from ATG UE to TN BS </w:t>
      </w:r>
      <w:r w:rsidR="00D67E69" w:rsidRPr="00226CC8">
        <w:t xml:space="preserve">can be estimated </w:t>
      </w:r>
      <w:r w:rsidR="009454BE" w:rsidRPr="00226CC8">
        <w:t xml:space="preserve">as </w:t>
      </w:r>
      <w:r w:rsidR="00420600" w:rsidRPr="00226CC8">
        <w:t>1</w:t>
      </w:r>
      <w:r w:rsidR="008275DB">
        <w:t>0</w:t>
      </w:r>
      <w:r w:rsidR="00420600" w:rsidRPr="00226CC8">
        <w:t>dB</w:t>
      </w:r>
      <w:r w:rsidR="008275DB">
        <w:t xml:space="preserve"> based on </w:t>
      </w:r>
      <w:r w:rsidR="00477D04">
        <w:t>antenna pattern shown in Figure 2</w:t>
      </w:r>
      <w:r w:rsidR="009846B6" w:rsidRPr="00226CC8">
        <w:t>.</w:t>
      </w:r>
    </w:p>
    <w:p w14:paraId="1F46F2B8" w14:textId="666A6F3B" w:rsidR="009846B6" w:rsidRPr="00226CC8" w:rsidRDefault="009846B6" w:rsidP="00226CC8">
      <w:pPr>
        <w:spacing w:after="180"/>
        <w:jc w:val="both"/>
      </w:pPr>
      <w:r w:rsidRPr="00226CC8">
        <w:t xml:space="preserve">The received interference from ATG UE at TN BS for AAS can be </w:t>
      </w:r>
      <w:r w:rsidR="002C28A5">
        <w:t>estimated</w:t>
      </w:r>
      <w:r w:rsidRPr="00226CC8">
        <w:t xml:space="preserve"> as:</w:t>
      </w:r>
    </w:p>
    <w:p w14:paraId="7FDA2EF8" w14:textId="77FFD922" w:rsidR="009846B6" w:rsidRPr="00226CC8" w:rsidRDefault="009846B6" w:rsidP="00226CC8">
      <w:pPr>
        <w:spacing w:after="180"/>
        <w:jc w:val="center"/>
      </w:pPr>
      <w:r w:rsidRPr="00226CC8">
        <w:t xml:space="preserve">Received interference level: 40 </w:t>
      </w:r>
      <w:r w:rsidR="00477D04">
        <w:t>+10-</w:t>
      </w:r>
      <w:r w:rsidRPr="00226CC8">
        <w:t>124 = -</w:t>
      </w:r>
      <w:r w:rsidR="008275DB">
        <w:t>74</w:t>
      </w:r>
      <w:r w:rsidRPr="00226CC8">
        <w:t>dBm</w:t>
      </w:r>
    </w:p>
    <w:p w14:paraId="2FDBD353" w14:textId="2DB41D66" w:rsidR="009846B6" w:rsidRDefault="009846B6">
      <w:pPr>
        <w:rPr>
          <w:rFonts w:asciiTheme="minorEastAsia" w:eastAsiaTheme="minorEastAsia" w:hAnsiTheme="minorEastAsia"/>
        </w:rPr>
      </w:pPr>
    </w:p>
    <w:p w14:paraId="469C5403" w14:textId="4AAC7547" w:rsidR="00DE532F" w:rsidRDefault="00DE532F" w:rsidP="00B5109D">
      <w:pPr>
        <w:jc w:val="center"/>
        <w:rPr>
          <w:rFonts w:asciiTheme="minorEastAsia" w:eastAsiaTheme="minorEastAsia" w:hAnsiTheme="minorEastAsia"/>
        </w:rPr>
      </w:pPr>
    </w:p>
    <w:p w14:paraId="1E435E91" w14:textId="3A34FA5E" w:rsidR="00DE532F" w:rsidRPr="00390B85" w:rsidRDefault="004C294F" w:rsidP="00390B85">
      <w:pPr>
        <w:spacing w:after="180"/>
        <w:jc w:val="both"/>
      </w:pPr>
      <w:r w:rsidRPr="00390B85">
        <w:rPr>
          <w:rFonts w:hint="eastAsia"/>
        </w:rPr>
        <w:lastRenderedPageBreak/>
        <w:t>Figure</w:t>
      </w:r>
      <w:r w:rsidRPr="00390B85">
        <w:t xml:space="preserve"> 3 and Figure 4 show the CDF of UL received power and </w:t>
      </w:r>
      <w:r w:rsidR="00CC548D" w:rsidRPr="00390B85">
        <w:t xml:space="preserve">received interference </w:t>
      </w:r>
      <w:r w:rsidR="00161DC8">
        <w:t xml:space="preserve">for single </w:t>
      </w:r>
      <w:r w:rsidR="00CC548D" w:rsidRPr="00390B85">
        <w:t xml:space="preserve">TN network (no </w:t>
      </w:r>
      <w:r w:rsidR="00390B85" w:rsidRPr="00390B85">
        <w:t>co-channel interference from ATG UE</w:t>
      </w:r>
      <w:r w:rsidR="00CC548D" w:rsidRPr="00390B85">
        <w:t>)</w:t>
      </w:r>
      <w:r w:rsidR="00390B85" w:rsidRPr="00390B85">
        <w:t xml:space="preserve"> respectively.</w:t>
      </w:r>
    </w:p>
    <w:p w14:paraId="71D8A453" w14:textId="2EB8A07A" w:rsidR="00B5109D" w:rsidRDefault="00B5109D" w:rsidP="00B5109D">
      <w:pPr>
        <w:jc w:val="center"/>
        <w:rPr>
          <w:rFonts w:asciiTheme="minorEastAsia" w:eastAsiaTheme="minorEastAsia" w:hAnsiTheme="minorEastAsia"/>
        </w:rPr>
      </w:pPr>
      <w:r>
        <w:rPr>
          <w:noProof/>
        </w:rPr>
        <w:drawing>
          <wp:inline distT="0" distB="0" distL="0" distR="0" wp14:anchorId="6CC60D36" wp14:editId="0A20EE2D">
            <wp:extent cx="2899410" cy="2090080"/>
            <wp:effectExtent l="0" t="0" r="0" b="0"/>
            <wp:docPr id="7" name="Picture 6">
              <a:extLst xmlns:a="http://schemas.openxmlformats.org/drawingml/2006/main">
                <a:ext uri="{FF2B5EF4-FFF2-40B4-BE49-F238E27FC236}">
                  <a16:creationId xmlns:a16="http://schemas.microsoft.com/office/drawing/2014/main" id="{D98EDA06-B2AB-B649-3ABD-96AF227A4A47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6">
                      <a:extLst>
                        <a:ext uri="{FF2B5EF4-FFF2-40B4-BE49-F238E27FC236}">
                          <a16:creationId xmlns:a16="http://schemas.microsoft.com/office/drawing/2014/main" id="{D98EDA06-B2AB-B649-3ABD-96AF227A4A47}"/>
                        </a:ext>
                      </a:extLst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1372" cy="209870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1867BE8" w14:textId="67379444" w:rsidR="00477D04" w:rsidRPr="00161DC8" w:rsidRDefault="00477D04" w:rsidP="00390B85">
      <w:pPr>
        <w:spacing w:after="180"/>
        <w:jc w:val="center"/>
        <w:rPr>
          <w:sz w:val="22"/>
          <w:szCs w:val="22"/>
        </w:rPr>
      </w:pPr>
      <w:r w:rsidRPr="00161DC8">
        <w:rPr>
          <w:sz w:val="22"/>
          <w:szCs w:val="22"/>
        </w:rPr>
        <w:t>Figure</w:t>
      </w:r>
      <w:r w:rsidR="00390B85" w:rsidRPr="00161DC8">
        <w:rPr>
          <w:sz w:val="22"/>
          <w:szCs w:val="22"/>
        </w:rPr>
        <w:t xml:space="preserve"> 3: CDF of UL received power</w:t>
      </w:r>
    </w:p>
    <w:p w14:paraId="658C6E08" w14:textId="5A3FE911" w:rsidR="00B5109D" w:rsidRDefault="00C571C8" w:rsidP="00B5109D">
      <w:pPr>
        <w:jc w:val="center"/>
        <w:rPr>
          <w:rFonts w:asciiTheme="minorEastAsia" w:eastAsiaTheme="minorEastAsia" w:hAnsiTheme="minorEastAsia"/>
        </w:rPr>
      </w:pPr>
      <w:r>
        <w:rPr>
          <w:noProof/>
        </w:rPr>
        <w:drawing>
          <wp:inline distT="0" distB="0" distL="0" distR="0" wp14:anchorId="687EFC6A" wp14:editId="3F8A28A4">
            <wp:extent cx="2899542" cy="2088292"/>
            <wp:effectExtent l="0" t="0" r="0" b="0"/>
            <wp:docPr id="8" name="Picture 7">
              <a:extLst xmlns:a="http://schemas.openxmlformats.org/drawingml/2006/main">
                <a:ext uri="{FF2B5EF4-FFF2-40B4-BE49-F238E27FC236}">
                  <a16:creationId xmlns:a16="http://schemas.microsoft.com/office/drawing/2014/main" id="{C23A03CA-1ACD-D938-C415-09D210EA180C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7">
                      <a:extLst>
                        <a:ext uri="{FF2B5EF4-FFF2-40B4-BE49-F238E27FC236}">
                          <a16:creationId xmlns:a16="http://schemas.microsoft.com/office/drawing/2014/main" id="{C23A03CA-1ACD-D938-C415-09D210EA180C}"/>
                        </a:ext>
                      </a:extLst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5238" cy="211400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0DD0E63" w14:textId="126398EE" w:rsidR="00390B85" w:rsidRPr="00161DC8" w:rsidRDefault="00390B85" w:rsidP="00161DC8">
      <w:pPr>
        <w:spacing w:after="180"/>
        <w:jc w:val="center"/>
        <w:rPr>
          <w:sz w:val="22"/>
          <w:szCs w:val="22"/>
        </w:rPr>
      </w:pPr>
      <w:r w:rsidRPr="00161DC8">
        <w:rPr>
          <w:sz w:val="22"/>
          <w:szCs w:val="22"/>
        </w:rPr>
        <w:t xml:space="preserve">Figure 4: CDF of co-channel interference </w:t>
      </w:r>
      <w:r w:rsidR="00161DC8" w:rsidRPr="00161DC8">
        <w:rPr>
          <w:sz w:val="22"/>
          <w:szCs w:val="22"/>
        </w:rPr>
        <w:t>for single TN network</w:t>
      </w:r>
    </w:p>
    <w:p w14:paraId="0614CA47" w14:textId="3DD5C6E6" w:rsidR="005C2A33" w:rsidRDefault="00161DC8" w:rsidP="00782400">
      <w:pPr>
        <w:spacing w:after="180"/>
        <w:jc w:val="both"/>
      </w:pPr>
      <w:r w:rsidRPr="00161DC8">
        <w:t xml:space="preserve">It can be observed that </w:t>
      </w:r>
      <w:r w:rsidR="00A027BD">
        <w:t>the interference</w:t>
      </w:r>
      <w:r w:rsidR="00595481">
        <w:t xml:space="preserve"> </w:t>
      </w:r>
      <w:r w:rsidR="0006420E">
        <w:t xml:space="preserve">from ATG UE </w:t>
      </w:r>
      <w:r w:rsidR="00595481">
        <w:t xml:space="preserve">is even higher than interference and UL received power </w:t>
      </w:r>
      <w:r w:rsidR="0006420E">
        <w:t>for the</w:t>
      </w:r>
      <w:r w:rsidR="003C49E7">
        <w:t xml:space="preserve"> most case</w:t>
      </w:r>
      <w:r w:rsidR="0006420E">
        <w:t>s</w:t>
      </w:r>
      <w:r w:rsidR="003C49E7">
        <w:t>.</w:t>
      </w:r>
      <w:r w:rsidR="005C784A">
        <w:t xml:space="preserve"> </w:t>
      </w:r>
      <w:r w:rsidR="0006420E">
        <w:t>And it is expected that t</w:t>
      </w:r>
      <w:r w:rsidR="005C784A">
        <w:t xml:space="preserve">he interference from ATG UE would be more serious with sub-array AAS </w:t>
      </w:r>
      <w:r w:rsidR="0006420E">
        <w:t xml:space="preserve">or </w:t>
      </w:r>
      <w:r w:rsidR="00BD01CD">
        <w:t>non</w:t>
      </w:r>
      <w:r w:rsidR="00DE4B1A">
        <w:t>-</w:t>
      </w:r>
      <w:r w:rsidR="00BD01CD">
        <w:t>AAS model.</w:t>
      </w:r>
    </w:p>
    <w:p w14:paraId="0913C676" w14:textId="3D3ADF4A" w:rsidR="00FD7F3C" w:rsidRPr="0036292C" w:rsidRDefault="00FD7F3C" w:rsidP="00782400">
      <w:pPr>
        <w:spacing w:after="180"/>
        <w:jc w:val="both"/>
        <w:rPr>
          <w:b/>
          <w:bCs/>
        </w:rPr>
      </w:pPr>
      <w:r w:rsidRPr="0036292C">
        <w:rPr>
          <w:b/>
          <w:bCs/>
        </w:rPr>
        <w:t xml:space="preserve">Observation 1: </w:t>
      </w:r>
      <w:r w:rsidR="00A66C49" w:rsidRPr="0036292C">
        <w:rPr>
          <w:b/>
          <w:bCs/>
        </w:rPr>
        <w:t xml:space="preserve">With a high MoP, the co-channel interference from ATG UE to </w:t>
      </w:r>
      <w:r w:rsidR="009B66F3" w:rsidRPr="0036292C">
        <w:rPr>
          <w:b/>
          <w:bCs/>
        </w:rPr>
        <w:t>TN network is not ignorable.</w:t>
      </w:r>
    </w:p>
    <w:p w14:paraId="230B8C38" w14:textId="27887D03" w:rsidR="00041B49" w:rsidRDefault="003E6332" w:rsidP="00782400">
      <w:pPr>
        <w:spacing w:after="180"/>
        <w:jc w:val="both"/>
        <w:rPr>
          <w:b/>
          <w:bCs/>
        </w:rPr>
      </w:pPr>
      <w:r w:rsidRPr="00782400">
        <w:rPr>
          <w:b/>
          <w:bCs/>
        </w:rPr>
        <w:t xml:space="preserve">Observation </w:t>
      </w:r>
      <w:r w:rsidR="0036292C">
        <w:rPr>
          <w:b/>
          <w:bCs/>
        </w:rPr>
        <w:t>2</w:t>
      </w:r>
      <w:r w:rsidRPr="00782400">
        <w:rPr>
          <w:b/>
          <w:bCs/>
        </w:rPr>
        <w:t>:</w:t>
      </w:r>
      <w:r w:rsidR="00CF4DFB" w:rsidRPr="00782400">
        <w:rPr>
          <w:b/>
          <w:bCs/>
        </w:rPr>
        <w:t xml:space="preserve"> </w:t>
      </w:r>
      <w:r w:rsidR="00041B49">
        <w:rPr>
          <w:b/>
          <w:bCs/>
        </w:rPr>
        <w:t>RAN4 needs to s</w:t>
      </w:r>
      <w:r w:rsidR="004444CD">
        <w:rPr>
          <w:b/>
          <w:bCs/>
        </w:rPr>
        <w:t xml:space="preserve">tudy the impact of </w:t>
      </w:r>
      <w:r w:rsidR="004444CD" w:rsidRPr="00BA4C15">
        <w:rPr>
          <w:b/>
          <w:bCs/>
        </w:rPr>
        <w:t>co-channel interference</w:t>
      </w:r>
      <w:r w:rsidR="004444CD">
        <w:rPr>
          <w:b/>
          <w:bCs/>
        </w:rPr>
        <w:t xml:space="preserve"> on TN network </w:t>
      </w:r>
      <w:r w:rsidR="00FD7F3C">
        <w:rPr>
          <w:b/>
          <w:bCs/>
        </w:rPr>
        <w:t>when specify ATG UE MoP requirements.</w:t>
      </w:r>
    </w:p>
    <w:p w14:paraId="5CA39BE3" w14:textId="4C3A4DA1" w:rsidR="00E72C6D" w:rsidRDefault="0036292C" w:rsidP="003B1ACE">
      <w:pPr>
        <w:jc w:val="both"/>
      </w:pPr>
      <w:r w:rsidRPr="0035279A">
        <w:t>In addition,</w:t>
      </w:r>
      <w:r w:rsidR="00D45718">
        <w:t xml:space="preserve"> </w:t>
      </w:r>
      <w:r w:rsidR="004C30D3">
        <w:t xml:space="preserve">we notice that </w:t>
      </w:r>
      <w:r w:rsidR="00D45718">
        <w:t xml:space="preserve">there are </w:t>
      </w:r>
      <w:r w:rsidR="00056E4F">
        <w:t xml:space="preserve">unintentional </w:t>
      </w:r>
      <w:r w:rsidR="004C30D3" w:rsidRPr="004C30D3">
        <w:t xml:space="preserve">radiated emissions </w:t>
      </w:r>
      <w:r w:rsidR="00056E4F">
        <w:t xml:space="preserve">and immunity requirements </w:t>
      </w:r>
      <w:r w:rsidR="004C30D3">
        <w:t xml:space="preserve">defined in </w:t>
      </w:r>
      <w:r w:rsidR="004C30D3" w:rsidRPr="00D45718">
        <w:t xml:space="preserve">RTCA </w:t>
      </w:r>
      <w:r w:rsidR="007466FA">
        <w:t>DO-</w:t>
      </w:r>
      <w:r w:rsidR="004C30D3" w:rsidRPr="00D45718">
        <w:t>160</w:t>
      </w:r>
      <w:r w:rsidR="002612DC">
        <w:t>G</w:t>
      </w:r>
      <w:r w:rsidR="004C30D3">
        <w:t xml:space="preserve"> </w:t>
      </w:r>
      <w:r w:rsidR="001F3A9E">
        <w:t>“Environmental Conditions and Test Procedures for Airborne Equipment”</w:t>
      </w:r>
      <w:r w:rsidR="00C34D44">
        <w:t xml:space="preserve"> </w:t>
      </w:r>
      <w:r w:rsidR="00274BD1">
        <w:t xml:space="preserve">[2] </w:t>
      </w:r>
      <w:r w:rsidR="002612DC">
        <w:t xml:space="preserve">which are applicable </w:t>
      </w:r>
      <w:r w:rsidR="004C30D3">
        <w:t>for ATG UE</w:t>
      </w:r>
      <w:r w:rsidR="002612DC">
        <w:t>.</w:t>
      </w:r>
      <w:r w:rsidR="00864239">
        <w:t xml:space="preserve"> </w:t>
      </w:r>
      <w:r w:rsidR="00C02A8F">
        <w:t>Specifically,</w:t>
      </w:r>
      <w:r w:rsidR="004B7A31">
        <w:t xml:space="preserve"> the chapter 21 of </w:t>
      </w:r>
      <w:r w:rsidR="000F3C0D">
        <w:t xml:space="preserve">DO-160G </w:t>
      </w:r>
      <w:r w:rsidR="00474069">
        <w:t xml:space="preserve">document </w:t>
      </w:r>
      <w:r w:rsidR="009079BD">
        <w:t xml:space="preserve">specifies </w:t>
      </w:r>
      <w:r w:rsidR="004B7A31">
        <w:t xml:space="preserve">unintentional </w:t>
      </w:r>
      <w:r w:rsidR="009079BD">
        <w:t xml:space="preserve">emissions requirements </w:t>
      </w:r>
      <w:r w:rsidR="000D0096">
        <w:t xml:space="preserve">when </w:t>
      </w:r>
      <w:r w:rsidR="00C33507">
        <w:t xml:space="preserve">an equipment like ATG is </w:t>
      </w:r>
      <w:r w:rsidR="009079BD">
        <w:t>in a non-transmit</w:t>
      </w:r>
      <w:r w:rsidR="00CC28B2">
        <w:t>/</w:t>
      </w:r>
      <w:r w:rsidR="009079BD">
        <w:t>receive mode</w:t>
      </w:r>
      <w:r w:rsidR="00F85E06">
        <w:t>.</w:t>
      </w:r>
      <w:r w:rsidR="00F15A72">
        <w:t xml:space="preserve"> </w:t>
      </w:r>
      <w:r w:rsidR="00F85E06">
        <w:t>Note that the document d</w:t>
      </w:r>
      <w:r w:rsidR="00A6354A">
        <w:t xml:space="preserve">oes not </w:t>
      </w:r>
      <w:r w:rsidR="00F85E06">
        <w:t xml:space="preserve">have </w:t>
      </w:r>
      <w:r w:rsidR="00A6354A">
        <w:t>emission requirements when ATG is in</w:t>
      </w:r>
      <w:r w:rsidR="00261FED">
        <w:t xml:space="preserve"> active</w:t>
      </w:r>
      <w:r w:rsidR="00A6354A">
        <w:t xml:space="preserve"> transmit</w:t>
      </w:r>
      <w:r w:rsidR="00261FED">
        <w:t>/</w:t>
      </w:r>
      <w:r w:rsidR="00A6354A">
        <w:t xml:space="preserve">receive mode. </w:t>
      </w:r>
      <w:r w:rsidR="001662FD">
        <w:t xml:space="preserve">The </w:t>
      </w:r>
      <w:r w:rsidR="00E85F41">
        <w:t xml:space="preserve">goal </w:t>
      </w:r>
      <w:r w:rsidR="001662FD">
        <w:t xml:space="preserve">of these unintentional emission requirements in chapter 21 is </w:t>
      </w:r>
      <w:r w:rsidR="00E85F41">
        <w:t>to d</w:t>
      </w:r>
      <w:r w:rsidR="00866E26" w:rsidRPr="003B1ACE">
        <w:t xml:space="preserve">etermine that the equipment does not emit undesired RF noise </w:t>
      </w:r>
      <w:r w:rsidR="00C02A8F" w:rsidRPr="00C02A8F">
        <w:t>more than</w:t>
      </w:r>
      <w:r w:rsidR="00866E26" w:rsidRPr="003B1ACE">
        <w:t xml:space="preserve"> the levels specified </w:t>
      </w:r>
      <w:r w:rsidR="00E85F41">
        <w:t>in the document</w:t>
      </w:r>
      <w:r w:rsidR="00F85E06">
        <w:t xml:space="preserve"> when </w:t>
      </w:r>
      <w:r w:rsidR="006F0749">
        <w:t>not in Tx/Rx mode</w:t>
      </w:r>
      <w:r w:rsidR="001662FD">
        <w:t xml:space="preserve">. </w:t>
      </w:r>
      <w:r w:rsidR="00C02A8F">
        <w:t xml:space="preserve">The chapter 21 of DO-160G further </w:t>
      </w:r>
      <w:r w:rsidR="00E85F41">
        <w:lastRenderedPageBreak/>
        <w:t xml:space="preserve">specifies </w:t>
      </w:r>
      <w:r w:rsidR="00D43E1B">
        <w:t xml:space="preserve">required </w:t>
      </w:r>
      <w:r w:rsidR="00866E26" w:rsidRPr="003B1ACE">
        <w:t xml:space="preserve">notches </w:t>
      </w:r>
      <w:r w:rsidR="006F0749">
        <w:t xml:space="preserve">for </w:t>
      </w:r>
      <w:r w:rsidR="00866E26" w:rsidRPr="003B1ACE">
        <w:t xml:space="preserve">the </w:t>
      </w:r>
      <w:r w:rsidR="00C02A8F">
        <w:t>unint</w:t>
      </w:r>
      <w:r w:rsidR="00CC28B2">
        <w:t xml:space="preserve">entional </w:t>
      </w:r>
      <w:r w:rsidR="00866E26" w:rsidRPr="003B1ACE">
        <w:t>radiated emissions limits to protect aircraft RF sensors operating frequencies.</w:t>
      </w:r>
      <w:r w:rsidR="009079BD">
        <w:t xml:space="preserve"> </w:t>
      </w:r>
      <w:r w:rsidR="00E6051D">
        <w:t xml:space="preserve">That </w:t>
      </w:r>
      <w:r w:rsidR="00CC28B2">
        <w:t xml:space="preserve">indicates that </w:t>
      </w:r>
      <w:r w:rsidR="00E6051D">
        <w:t xml:space="preserve">when the ATG UE is integrated onto the airplane, there will be a coexistence assessment </w:t>
      </w:r>
      <w:r w:rsidR="0054142E">
        <w:t xml:space="preserve">required </w:t>
      </w:r>
      <w:r w:rsidR="00E6051D">
        <w:t xml:space="preserve">with all </w:t>
      </w:r>
      <w:r w:rsidR="0054142E">
        <w:t>other</w:t>
      </w:r>
      <w:r w:rsidR="00E6051D">
        <w:t xml:space="preserve"> RF systems</w:t>
      </w:r>
      <w:r w:rsidR="0054142E">
        <w:t xml:space="preserve"> on board</w:t>
      </w:r>
      <w:r w:rsidR="004F2007">
        <w:t xml:space="preserve"> and depending on coexistence studies RTCA </w:t>
      </w:r>
      <w:r w:rsidR="00EB6C2A">
        <w:t xml:space="preserve">or other related standards </w:t>
      </w:r>
      <w:r w:rsidR="004F2007">
        <w:t xml:space="preserve">could create a </w:t>
      </w:r>
      <w:r w:rsidR="00B44A63">
        <w:t>new MOP requirement</w:t>
      </w:r>
      <w:r w:rsidR="00EB6C2A">
        <w:t xml:space="preserve"> for </w:t>
      </w:r>
      <w:r w:rsidR="00B44A63">
        <w:t xml:space="preserve">an </w:t>
      </w:r>
      <w:r w:rsidR="00EB6C2A">
        <w:t>ATG</w:t>
      </w:r>
      <w:r w:rsidR="00B44A63">
        <w:t xml:space="preserve"> UE</w:t>
      </w:r>
      <w:r w:rsidR="004F2007">
        <w:t>.</w:t>
      </w:r>
      <w:r w:rsidR="00B44A63">
        <w:t xml:space="preserve"> </w:t>
      </w:r>
    </w:p>
    <w:p w14:paraId="692E3806" w14:textId="77777777" w:rsidR="00E72C6D" w:rsidRPr="0035279A" w:rsidRDefault="00E72C6D" w:rsidP="003B1ACE"/>
    <w:p w14:paraId="6F1240E1" w14:textId="042EB157" w:rsidR="00772CFF" w:rsidRDefault="00C72605" w:rsidP="00782400">
      <w:pPr>
        <w:spacing w:after="180"/>
        <w:jc w:val="both"/>
        <w:rPr>
          <w:b/>
          <w:bCs/>
        </w:rPr>
      </w:pPr>
      <w:r w:rsidRPr="00AA1903">
        <w:rPr>
          <w:b/>
          <w:bCs/>
        </w:rPr>
        <w:t xml:space="preserve">Observation 3: </w:t>
      </w:r>
      <w:r w:rsidR="0020613C" w:rsidRPr="003B1ACE">
        <w:rPr>
          <w:b/>
          <w:bCs/>
        </w:rPr>
        <w:t xml:space="preserve">Thus, RTCA </w:t>
      </w:r>
      <w:r w:rsidR="00274BD1">
        <w:rPr>
          <w:b/>
          <w:bCs/>
        </w:rPr>
        <w:t>DO-</w:t>
      </w:r>
      <w:r w:rsidR="0020613C" w:rsidRPr="003B1ACE">
        <w:rPr>
          <w:b/>
          <w:bCs/>
        </w:rPr>
        <w:t xml:space="preserve">160G </w:t>
      </w:r>
      <w:r w:rsidR="00274BD1">
        <w:rPr>
          <w:b/>
          <w:bCs/>
        </w:rPr>
        <w:t xml:space="preserve">[2] </w:t>
      </w:r>
      <w:r w:rsidR="0020613C" w:rsidRPr="003B1ACE">
        <w:rPr>
          <w:b/>
          <w:bCs/>
        </w:rPr>
        <w:t xml:space="preserve">although does not directly address MoP, may still be a valuable reference to understand </w:t>
      </w:r>
      <w:r w:rsidR="0064799D">
        <w:rPr>
          <w:b/>
          <w:bCs/>
        </w:rPr>
        <w:t xml:space="preserve">existing </w:t>
      </w:r>
      <w:r w:rsidR="0020613C" w:rsidRPr="003B1ACE">
        <w:rPr>
          <w:b/>
          <w:bCs/>
        </w:rPr>
        <w:t>unintentional emission limits</w:t>
      </w:r>
      <w:r w:rsidR="00377443">
        <w:rPr>
          <w:b/>
          <w:bCs/>
        </w:rPr>
        <w:t xml:space="preserve"> and </w:t>
      </w:r>
      <w:r w:rsidR="0020613C" w:rsidRPr="003B1ACE">
        <w:rPr>
          <w:b/>
          <w:bCs/>
        </w:rPr>
        <w:t xml:space="preserve">notches </w:t>
      </w:r>
      <w:r w:rsidR="00CE4343" w:rsidRPr="003B1ACE">
        <w:rPr>
          <w:b/>
          <w:bCs/>
        </w:rPr>
        <w:t>w</w:t>
      </w:r>
      <w:r w:rsidR="0020613C" w:rsidRPr="003B1ACE">
        <w:rPr>
          <w:b/>
          <w:bCs/>
        </w:rPr>
        <w:t>hich may provide</w:t>
      </w:r>
      <w:r w:rsidR="00CE4343" w:rsidRPr="003B1ACE">
        <w:rPr>
          <w:b/>
          <w:bCs/>
        </w:rPr>
        <w:t xml:space="preserve"> </w:t>
      </w:r>
      <w:r w:rsidR="00654129">
        <w:rPr>
          <w:b/>
          <w:bCs/>
        </w:rPr>
        <w:t xml:space="preserve">some </w:t>
      </w:r>
      <w:r w:rsidR="00CE4343" w:rsidRPr="003B1ACE">
        <w:rPr>
          <w:b/>
          <w:bCs/>
        </w:rPr>
        <w:t>inputs to define the MoP requirements for ATG UE</w:t>
      </w:r>
      <w:r w:rsidR="0020613C" w:rsidRPr="003B1ACE">
        <w:rPr>
          <w:b/>
          <w:bCs/>
        </w:rPr>
        <w:t>.</w:t>
      </w:r>
      <w:r w:rsidR="00D35492">
        <w:rPr>
          <w:b/>
          <w:bCs/>
        </w:rPr>
        <w:t xml:space="preserve"> Hence there is value for RAN4 to study </w:t>
      </w:r>
      <w:r w:rsidR="001676CD">
        <w:rPr>
          <w:b/>
          <w:bCs/>
        </w:rPr>
        <w:t xml:space="preserve">chapter 21 of </w:t>
      </w:r>
      <w:r w:rsidR="00D35492">
        <w:rPr>
          <w:b/>
          <w:bCs/>
        </w:rPr>
        <w:t xml:space="preserve">this RTCA DO-160G document to determine </w:t>
      </w:r>
      <w:r w:rsidR="00F30AC6">
        <w:rPr>
          <w:b/>
          <w:bCs/>
        </w:rPr>
        <w:t>if</w:t>
      </w:r>
      <w:r w:rsidR="00D35492">
        <w:rPr>
          <w:b/>
          <w:bCs/>
        </w:rPr>
        <w:t xml:space="preserve"> </w:t>
      </w:r>
      <w:r w:rsidR="001676CD">
        <w:rPr>
          <w:b/>
          <w:bCs/>
        </w:rPr>
        <w:t xml:space="preserve">its contents may </w:t>
      </w:r>
      <w:r w:rsidR="00F30AC6">
        <w:rPr>
          <w:b/>
          <w:bCs/>
        </w:rPr>
        <w:t xml:space="preserve">or may not </w:t>
      </w:r>
      <w:r w:rsidR="001676CD">
        <w:rPr>
          <w:b/>
          <w:bCs/>
        </w:rPr>
        <w:t xml:space="preserve">be of value to </w:t>
      </w:r>
      <w:r w:rsidR="00F30AC6">
        <w:rPr>
          <w:b/>
          <w:bCs/>
        </w:rPr>
        <w:t>define MoP requirements for ATG UE.</w:t>
      </w:r>
    </w:p>
    <w:p w14:paraId="72BFE454" w14:textId="7FA24B48" w:rsidR="00246E37" w:rsidRPr="008274A6" w:rsidRDefault="001F6871" w:rsidP="00782400">
      <w:pPr>
        <w:spacing w:after="180"/>
        <w:jc w:val="both"/>
        <w:rPr>
          <w:b/>
          <w:bCs/>
        </w:rPr>
      </w:pPr>
      <w:r w:rsidRPr="002E2E35">
        <w:rPr>
          <w:b/>
          <w:bCs/>
        </w:rPr>
        <w:t>Proposal</w:t>
      </w:r>
      <w:r w:rsidR="00DE4128" w:rsidRPr="002E2E35">
        <w:rPr>
          <w:b/>
          <w:bCs/>
        </w:rPr>
        <w:t xml:space="preserve"> 1</w:t>
      </w:r>
      <w:r w:rsidRPr="002E2E35">
        <w:rPr>
          <w:b/>
          <w:bCs/>
        </w:rPr>
        <w:t xml:space="preserve">: </w:t>
      </w:r>
      <w:r w:rsidR="00AA1903" w:rsidRPr="002E2E35">
        <w:rPr>
          <w:b/>
          <w:bCs/>
        </w:rPr>
        <w:t xml:space="preserve">RAN4 shall </w:t>
      </w:r>
      <w:r w:rsidR="00857192" w:rsidRPr="002E2E35">
        <w:rPr>
          <w:b/>
          <w:bCs/>
        </w:rPr>
        <w:t>define a</w:t>
      </w:r>
      <w:r w:rsidRPr="002E2E35">
        <w:rPr>
          <w:b/>
          <w:bCs/>
        </w:rPr>
        <w:t>n</w:t>
      </w:r>
      <w:r w:rsidR="00857192" w:rsidRPr="002E2E35">
        <w:rPr>
          <w:b/>
          <w:bCs/>
        </w:rPr>
        <w:t xml:space="preserve"> upper limit for M</w:t>
      </w:r>
      <w:r w:rsidR="00215FD0">
        <w:rPr>
          <w:b/>
          <w:bCs/>
        </w:rPr>
        <w:t>o</w:t>
      </w:r>
      <w:r w:rsidR="00857192" w:rsidRPr="002E2E35">
        <w:rPr>
          <w:b/>
          <w:bCs/>
        </w:rPr>
        <w:t>P range</w:t>
      </w:r>
      <w:r w:rsidRPr="002E2E35">
        <w:rPr>
          <w:b/>
          <w:bCs/>
        </w:rPr>
        <w:t xml:space="preserve">. The value </w:t>
      </w:r>
      <w:r w:rsidR="007011A8">
        <w:rPr>
          <w:b/>
          <w:bCs/>
        </w:rPr>
        <w:t xml:space="preserve">shall be decided based on the considerations of </w:t>
      </w:r>
      <w:r w:rsidR="00D8100D">
        <w:rPr>
          <w:b/>
          <w:bCs/>
        </w:rPr>
        <w:t xml:space="preserve">co-channel interference and </w:t>
      </w:r>
      <w:r w:rsidR="00EF6988">
        <w:rPr>
          <w:b/>
          <w:bCs/>
        </w:rPr>
        <w:t xml:space="preserve">related </w:t>
      </w:r>
      <w:r w:rsidR="00A25B1B">
        <w:rPr>
          <w:b/>
          <w:bCs/>
        </w:rPr>
        <w:t>requirements</w:t>
      </w:r>
      <w:r w:rsidR="00EF6988">
        <w:rPr>
          <w:b/>
          <w:bCs/>
        </w:rPr>
        <w:t xml:space="preserve">. The </w:t>
      </w:r>
      <w:r w:rsidR="00645F30">
        <w:rPr>
          <w:b/>
          <w:bCs/>
        </w:rPr>
        <w:t xml:space="preserve">existing </w:t>
      </w:r>
      <w:r w:rsidR="00A25B1B">
        <w:rPr>
          <w:b/>
          <w:bCs/>
        </w:rPr>
        <w:t>standards such as RTCA</w:t>
      </w:r>
      <w:r w:rsidR="00A27D3F">
        <w:rPr>
          <w:b/>
          <w:bCs/>
        </w:rPr>
        <w:t xml:space="preserve"> </w:t>
      </w:r>
      <w:r w:rsidR="00E03E42">
        <w:rPr>
          <w:b/>
          <w:bCs/>
        </w:rPr>
        <w:t>DO-</w:t>
      </w:r>
      <w:r w:rsidR="00A27D3F">
        <w:rPr>
          <w:b/>
          <w:bCs/>
        </w:rPr>
        <w:t>160</w:t>
      </w:r>
      <w:r w:rsidR="00E03E42">
        <w:rPr>
          <w:b/>
          <w:bCs/>
        </w:rPr>
        <w:t>G</w:t>
      </w:r>
      <w:r w:rsidR="00EC6F64">
        <w:rPr>
          <w:b/>
          <w:bCs/>
        </w:rPr>
        <w:t xml:space="preserve"> may </w:t>
      </w:r>
      <w:r w:rsidR="00E838DE">
        <w:rPr>
          <w:b/>
          <w:bCs/>
        </w:rPr>
        <w:t xml:space="preserve">be </w:t>
      </w:r>
      <w:r w:rsidR="00D35492">
        <w:rPr>
          <w:b/>
          <w:bCs/>
        </w:rPr>
        <w:t xml:space="preserve">studied and </w:t>
      </w:r>
      <w:r w:rsidR="00645F30">
        <w:rPr>
          <w:b/>
          <w:bCs/>
        </w:rPr>
        <w:t xml:space="preserve">referred </w:t>
      </w:r>
      <w:r w:rsidR="00F30AC6">
        <w:rPr>
          <w:b/>
          <w:bCs/>
        </w:rPr>
        <w:t xml:space="preserve">if </w:t>
      </w:r>
      <w:r w:rsidR="00E838DE">
        <w:rPr>
          <w:b/>
          <w:bCs/>
        </w:rPr>
        <w:t>suitable</w:t>
      </w:r>
      <w:r w:rsidR="00A27D3F">
        <w:rPr>
          <w:b/>
          <w:bCs/>
        </w:rPr>
        <w:t>.</w:t>
      </w:r>
      <w:r w:rsidR="00DA4FBC">
        <w:rPr>
          <w:b/>
          <w:bCs/>
        </w:rPr>
        <w:t xml:space="preserve"> </w:t>
      </w:r>
    </w:p>
    <w:p w14:paraId="24ECB637" w14:textId="49BB5D54" w:rsidR="006F3033" w:rsidRDefault="00204478" w:rsidP="00782400">
      <w:pPr>
        <w:spacing w:after="180"/>
        <w:jc w:val="both"/>
      </w:pPr>
      <w:r w:rsidRPr="00204478">
        <w:t xml:space="preserve">In [1], it was agreed </w:t>
      </w:r>
      <w:r w:rsidR="00215FD0">
        <w:t xml:space="preserve">that </w:t>
      </w:r>
      <w:r w:rsidRPr="00204478">
        <w:t>the tolerance of ATG UE MOP can be ±2dB</w:t>
      </w:r>
      <w:r>
        <w:t xml:space="preserve">. </w:t>
      </w:r>
      <w:r w:rsidR="00441371">
        <w:t xml:space="preserve">In our understanding, there is no need to define the </w:t>
      </w:r>
      <w:r w:rsidR="005E4D9D">
        <w:t>tolerance in RAN4 specification when defining ATG UE MoP</w:t>
      </w:r>
      <w:r w:rsidR="004E0A47">
        <w:t xml:space="preserve"> requirements</w:t>
      </w:r>
      <w:r w:rsidR="005E4D9D">
        <w:t xml:space="preserve"> since </w:t>
      </w:r>
      <w:r w:rsidR="004E0A47">
        <w:t xml:space="preserve">the </w:t>
      </w:r>
      <w:r w:rsidR="00C36A22">
        <w:t>tolerance</w:t>
      </w:r>
      <w:r w:rsidR="004E0A47">
        <w:t xml:space="preserve"> will make the MoP </w:t>
      </w:r>
      <w:r w:rsidR="00034965">
        <w:t xml:space="preserve">value to be </w:t>
      </w:r>
      <w:r w:rsidR="00573913">
        <w:t>higher or lower</w:t>
      </w:r>
      <w:r w:rsidR="00034965">
        <w:t xml:space="preserve"> than</w:t>
      </w:r>
      <w:r w:rsidR="00573913">
        <w:t xml:space="preserve"> the target value.</w:t>
      </w:r>
    </w:p>
    <w:p w14:paraId="23DFD7E7" w14:textId="5ED9CA5C" w:rsidR="00A51F6A" w:rsidRPr="00450450" w:rsidRDefault="00573913" w:rsidP="00782400">
      <w:pPr>
        <w:spacing w:after="180"/>
        <w:jc w:val="both"/>
        <w:rPr>
          <w:b/>
          <w:bCs/>
        </w:rPr>
      </w:pPr>
      <w:r w:rsidRPr="006B1BF6">
        <w:rPr>
          <w:b/>
          <w:bCs/>
        </w:rPr>
        <w:t xml:space="preserve">Proposal 2: Do not define the </w:t>
      </w:r>
      <w:r w:rsidR="002A70C6" w:rsidRPr="006B1BF6">
        <w:rPr>
          <w:b/>
          <w:bCs/>
        </w:rPr>
        <w:t>tolerance in RAN4 specification when specify ATG UE MoP</w:t>
      </w:r>
      <w:r w:rsidR="00034965">
        <w:rPr>
          <w:b/>
          <w:bCs/>
        </w:rPr>
        <w:t xml:space="preserve"> requirements</w:t>
      </w:r>
      <w:r w:rsidR="002A70C6" w:rsidRPr="006B1BF6">
        <w:rPr>
          <w:b/>
          <w:bCs/>
        </w:rPr>
        <w:t>.</w:t>
      </w:r>
    </w:p>
    <w:p w14:paraId="7DD35784" w14:textId="43BDFA92" w:rsidR="00486CAB" w:rsidRDefault="00486CAB" w:rsidP="00486CAB">
      <w:pPr>
        <w:pStyle w:val="Heading2"/>
        <w:spacing w:after="240"/>
        <w:rPr>
          <w:rFonts w:ascii="Arial" w:hAnsi="Arial" w:cs="Arial"/>
          <w:color w:val="auto"/>
          <w:sz w:val="32"/>
          <w:szCs w:val="32"/>
        </w:rPr>
      </w:pPr>
      <w:r w:rsidRPr="0004132B">
        <w:rPr>
          <w:rFonts w:ascii="Arial" w:hAnsi="Arial" w:cs="Arial"/>
          <w:color w:val="auto"/>
          <w:sz w:val="32"/>
          <w:szCs w:val="32"/>
        </w:rPr>
        <w:t>2.</w:t>
      </w:r>
      <w:r w:rsidR="00333A86">
        <w:rPr>
          <w:rFonts w:ascii="Arial" w:hAnsi="Arial" w:cs="Arial"/>
          <w:color w:val="auto"/>
          <w:sz w:val="32"/>
          <w:szCs w:val="32"/>
        </w:rPr>
        <w:t>2</w:t>
      </w:r>
      <w:r w:rsidRPr="0004132B">
        <w:rPr>
          <w:rFonts w:ascii="Arial" w:hAnsi="Arial" w:cs="Arial"/>
          <w:color w:val="auto"/>
          <w:sz w:val="32"/>
          <w:szCs w:val="32"/>
        </w:rPr>
        <w:t xml:space="preserve"> </w:t>
      </w:r>
      <w:r>
        <w:rPr>
          <w:rFonts w:ascii="Arial" w:hAnsi="Arial" w:cs="Arial"/>
          <w:color w:val="auto"/>
          <w:sz w:val="32"/>
          <w:szCs w:val="32"/>
        </w:rPr>
        <w:t>MPR/A-MPR</w:t>
      </w:r>
      <w:r w:rsidR="0072743A">
        <w:rPr>
          <w:rFonts w:ascii="Arial" w:hAnsi="Arial" w:cs="Arial"/>
          <w:color w:val="auto"/>
          <w:sz w:val="32"/>
          <w:szCs w:val="32"/>
        </w:rPr>
        <w:t xml:space="preserve"> requirements</w:t>
      </w:r>
    </w:p>
    <w:p w14:paraId="3E1FE1FE" w14:textId="2A1BEC23" w:rsidR="00246E37" w:rsidRDefault="00246E37" w:rsidP="00246E37">
      <w:pPr>
        <w:spacing w:after="180"/>
        <w:jc w:val="both"/>
      </w:pPr>
      <w:r w:rsidRPr="00052A38">
        <w:t>With Proposal 1, several power classes for ATG UE</w:t>
      </w:r>
      <w:r>
        <w:t xml:space="preserve"> would be defined</w:t>
      </w:r>
      <w:r w:rsidR="004D26F0">
        <w:t xml:space="preserve"> </w:t>
      </w:r>
      <w:r w:rsidR="004C0396">
        <w:t>with</w:t>
      </w:r>
      <w:r w:rsidR="004D26F0">
        <w:t xml:space="preserve"> </w:t>
      </w:r>
      <w:r w:rsidR="004C0396">
        <w:t>RB configuration</w:t>
      </w:r>
      <w:r w:rsidR="007B3E06">
        <w:t>s</w:t>
      </w:r>
      <w:r w:rsidR="004C0396">
        <w:t>.</w:t>
      </w:r>
      <w:r w:rsidR="005E3EB3">
        <w:t xml:space="preserve"> </w:t>
      </w:r>
      <w:r>
        <w:t xml:space="preserve">Therefore, </w:t>
      </w:r>
      <w:r w:rsidRPr="00052A38">
        <w:t xml:space="preserve">RB configuration </w:t>
      </w:r>
      <w:r w:rsidR="00F1655F">
        <w:t>should</w:t>
      </w:r>
      <w:r w:rsidRPr="00052A38">
        <w:t xml:space="preserve"> be </w:t>
      </w:r>
      <w:r>
        <w:t xml:space="preserve">declared or defined with the power class. Alternatively, </w:t>
      </w:r>
      <w:r w:rsidR="0049134B">
        <w:t>we can define the MPR value</w:t>
      </w:r>
      <w:r w:rsidR="007B3E06">
        <w:t>s</w:t>
      </w:r>
      <w:r w:rsidR="0049134B">
        <w:t xml:space="preserve"> with different RB configurations.</w:t>
      </w:r>
    </w:p>
    <w:p w14:paraId="3A35C10D" w14:textId="5A6B7C2D" w:rsidR="0049134B" w:rsidRPr="00B55AA3" w:rsidRDefault="00F1655F" w:rsidP="00246E37">
      <w:pPr>
        <w:spacing w:after="180"/>
        <w:jc w:val="both"/>
        <w:rPr>
          <w:b/>
          <w:bCs/>
        </w:rPr>
      </w:pPr>
      <w:r w:rsidRPr="00B55AA3">
        <w:rPr>
          <w:b/>
          <w:bCs/>
        </w:rPr>
        <w:t>Proposal</w:t>
      </w:r>
      <w:r w:rsidR="0049134B" w:rsidRPr="00B55AA3">
        <w:rPr>
          <w:b/>
          <w:bCs/>
        </w:rPr>
        <w:t xml:space="preserve"> 3: RAN4 to consider the following options regarding RB configuration and MPR</w:t>
      </w:r>
      <w:r w:rsidRPr="00B55AA3">
        <w:rPr>
          <w:b/>
          <w:bCs/>
        </w:rPr>
        <w:t xml:space="preserve"> for ATG UE:</w:t>
      </w:r>
    </w:p>
    <w:p w14:paraId="0B4DD35E" w14:textId="6CBC7529" w:rsidR="00F1655F" w:rsidRPr="00B55AA3" w:rsidRDefault="00F1655F" w:rsidP="00F1655F">
      <w:pPr>
        <w:pStyle w:val="ListParagraph"/>
        <w:numPr>
          <w:ilvl w:val="0"/>
          <w:numId w:val="2"/>
        </w:numPr>
        <w:spacing w:after="180"/>
        <w:jc w:val="both"/>
        <w:rPr>
          <w:b/>
          <w:bCs/>
        </w:rPr>
      </w:pPr>
      <w:r w:rsidRPr="00B55AA3">
        <w:rPr>
          <w:b/>
          <w:bCs/>
        </w:rPr>
        <w:t>Option 1: RB configurations should be declared or defined with power class</w:t>
      </w:r>
    </w:p>
    <w:p w14:paraId="6452B702" w14:textId="004CA71E" w:rsidR="00F1655F" w:rsidRPr="00B55AA3" w:rsidRDefault="00F1655F" w:rsidP="00F1655F">
      <w:pPr>
        <w:pStyle w:val="ListParagraph"/>
        <w:numPr>
          <w:ilvl w:val="0"/>
          <w:numId w:val="2"/>
        </w:numPr>
        <w:spacing w:after="180"/>
        <w:jc w:val="both"/>
        <w:rPr>
          <w:b/>
          <w:bCs/>
        </w:rPr>
      </w:pPr>
      <w:r w:rsidRPr="00B55AA3">
        <w:rPr>
          <w:b/>
          <w:bCs/>
        </w:rPr>
        <w:t>Option 2:</w:t>
      </w:r>
    </w:p>
    <w:p w14:paraId="17B3D7AF" w14:textId="1C8BF2F3" w:rsidR="00F1655F" w:rsidRPr="00B55AA3" w:rsidRDefault="00F1655F" w:rsidP="00F1655F">
      <w:pPr>
        <w:pStyle w:val="ListParagraph"/>
        <w:numPr>
          <w:ilvl w:val="1"/>
          <w:numId w:val="2"/>
        </w:numPr>
        <w:spacing w:after="180"/>
        <w:jc w:val="both"/>
        <w:rPr>
          <w:b/>
          <w:bCs/>
        </w:rPr>
      </w:pPr>
      <w:r w:rsidRPr="00B55AA3">
        <w:rPr>
          <w:b/>
          <w:bCs/>
        </w:rPr>
        <w:t>Option 2a: Define the MPR values with different RB configurations</w:t>
      </w:r>
    </w:p>
    <w:p w14:paraId="3FF41C49" w14:textId="7809E557" w:rsidR="00F1655F" w:rsidRDefault="00F1655F" w:rsidP="00F1655F">
      <w:pPr>
        <w:pStyle w:val="ListParagraph"/>
        <w:numPr>
          <w:ilvl w:val="1"/>
          <w:numId w:val="2"/>
        </w:numPr>
        <w:spacing w:after="180"/>
        <w:jc w:val="both"/>
        <w:rPr>
          <w:b/>
          <w:bCs/>
        </w:rPr>
      </w:pPr>
      <w:r w:rsidRPr="00B55AA3">
        <w:rPr>
          <w:b/>
          <w:bCs/>
        </w:rPr>
        <w:t>Option 2b: Reuse the legacy MRP values and RB configurations</w:t>
      </w:r>
    </w:p>
    <w:p w14:paraId="2EB0369D" w14:textId="77777777" w:rsidR="00B55AA3" w:rsidRPr="00B55AA3" w:rsidRDefault="00B55AA3" w:rsidP="00B55AA3">
      <w:pPr>
        <w:spacing w:after="180"/>
        <w:jc w:val="both"/>
        <w:rPr>
          <w:b/>
          <w:bCs/>
        </w:rPr>
      </w:pPr>
    </w:p>
    <w:p w14:paraId="44E95669" w14:textId="77777777" w:rsidR="003609BA" w:rsidRDefault="003609BA" w:rsidP="003609BA">
      <w:pPr>
        <w:pStyle w:val="Heading1"/>
      </w:pPr>
      <w:r>
        <w:t>3 Conclusions</w:t>
      </w:r>
    </w:p>
    <w:p w14:paraId="46A4D70E" w14:textId="36CF2658" w:rsidR="003609BA" w:rsidRDefault="003609BA" w:rsidP="003609BA">
      <w:pPr>
        <w:spacing w:after="180"/>
        <w:jc w:val="both"/>
      </w:pPr>
      <w:r>
        <w:t xml:space="preserve">This contribution provided our considerations </w:t>
      </w:r>
      <w:r w:rsidRPr="00AB6886">
        <w:t>on ATG UE RF</w:t>
      </w:r>
      <w:r>
        <w:t xml:space="preserve"> Tx requirements. We have the following observations and proposal:</w:t>
      </w:r>
    </w:p>
    <w:p w14:paraId="0E56109A" w14:textId="77777777" w:rsidR="003B1ACE" w:rsidRPr="0036292C" w:rsidRDefault="003B1ACE" w:rsidP="003B1ACE">
      <w:pPr>
        <w:spacing w:after="180"/>
        <w:jc w:val="both"/>
        <w:rPr>
          <w:b/>
          <w:bCs/>
        </w:rPr>
      </w:pPr>
      <w:r w:rsidRPr="0036292C">
        <w:rPr>
          <w:b/>
          <w:bCs/>
        </w:rPr>
        <w:t>Observation 1: With a high MoP, the co-channel interference from ATG UE to TN network is not ignorable.</w:t>
      </w:r>
    </w:p>
    <w:p w14:paraId="16C7AE0D" w14:textId="77777777" w:rsidR="003B1ACE" w:rsidRDefault="003B1ACE" w:rsidP="003B1ACE">
      <w:pPr>
        <w:spacing w:after="180"/>
        <w:jc w:val="both"/>
        <w:rPr>
          <w:b/>
          <w:bCs/>
        </w:rPr>
      </w:pPr>
      <w:r w:rsidRPr="00782400">
        <w:rPr>
          <w:b/>
          <w:bCs/>
        </w:rPr>
        <w:lastRenderedPageBreak/>
        <w:t xml:space="preserve">Observation </w:t>
      </w:r>
      <w:r>
        <w:rPr>
          <w:b/>
          <w:bCs/>
        </w:rPr>
        <w:t>2</w:t>
      </w:r>
      <w:r w:rsidRPr="00782400">
        <w:rPr>
          <w:b/>
          <w:bCs/>
        </w:rPr>
        <w:t xml:space="preserve">: </w:t>
      </w:r>
      <w:r>
        <w:rPr>
          <w:b/>
          <w:bCs/>
        </w:rPr>
        <w:t xml:space="preserve">RAN4 needs to study the impact of </w:t>
      </w:r>
      <w:r w:rsidRPr="00BA4C15">
        <w:rPr>
          <w:b/>
          <w:bCs/>
        </w:rPr>
        <w:t>co-channel interference</w:t>
      </w:r>
      <w:r>
        <w:rPr>
          <w:b/>
          <w:bCs/>
        </w:rPr>
        <w:t xml:space="preserve"> on TN network when specify ATG UE MoP requirements.</w:t>
      </w:r>
    </w:p>
    <w:p w14:paraId="786A2DF1" w14:textId="77777777" w:rsidR="003B1ACE" w:rsidRDefault="003B1ACE" w:rsidP="003B1ACE">
      <w:pPr>
        <w:spacing w:after="180"/>
        <w:jc w:val="both"/>
        <w:rPr>
          <w:b/>
          <w:bCs/>
        </w:rPr>
      </w:pPr>
      <w:r w:rsidRPr="00AA1903">
        <w:rPr>
          <w:b/>
          <w:bCs/>
        </w:rPr>
        <w:t xml:space="preserve">Observation 3: </w:t>
      </w:r>
      <w:r w:rsidRPr="003B1ACE">
        <w:rPr>
          <w:b/>
          <w:bCs/>
        </w:rPr>
        <w:t xml:space="preserve">Thus, RTCA </w:t>
      </w:r>
      <w:r>
        <w:rPr>
          <w:b/>
          <w:bCs/>
        </w:rPr>
        <w:t>DO-</w:t>
      </w:r>
      <w:r w:rsidRPr="003B1ACE">
        <w:rPr>
          <w:b/>
          <w:bCs/>
        </w:rPr>
        <w:t xml:space="preserve">160G </w:t>
      </w:r>
      <w:r>
        <w:rPr>
          <w:b/>
          <w:bCs/>
        </w:rPr>
        <w:t xml:space="preserve">[2] </w:t>
      </w:r>
      <w:r w:rsidRPr="003B1ACE">
        <w:rPr>
          <w:b/>
          <w:bCs/>
        </w:rPr>
        <w:t xml:space="preserve">although does not directly address MoP, may still be a valuable reference to understand </w:t>
      </w:r>
      <w:r>
        <w:rPr>
          <w:b/>
          <w:bCs/>
        </w:rPr>
        <w:t xml:space="preserve">existing </w:t>
      </w:r>
      <w:r w:rsidRPr="003B1ACE">
        <w:rPr>
          <w:b/>
          <w:bCs/>
        </w:rPr>
        <w:t>unintentional emission limits</w:t>
      </w:r>
      <w:r>
        <w:rPr>
          <w:b/>
          <w:bCs/>
        </w:rPr>
        <w:t xml:space="preserve"> and </w:t>
      </w:r>
      <w:r w:rsidRPr="003B1ACE">
        <w:rPr>
          <w:b/>
          <w:bCs/>
        </w:rPr>
        <w:t xml:space="preserve">notches which may provide </w:t>
      </w:r>
      <w:r>
        <w:rPr>
          <w:b/>
          <w:bCs/>
        </w:rPr>
        <w:t xml:space="preserve">some </w:t>
      </w:r>
      <w:r w:rsidRPr="003B1ACE">
        <w:rPr>
          <w:b/>
          <w:bCs/>
        </w:rPr>
        <w:t>inputs to define the MoP requirements for ATG UE.</w:t>
      </w:r>
      <w:r>
        <w:rPr>
          <w:b/>
          <w:bCs/>
        </w:rPr>
        <w:t xml:space="preserve"> Hence there is value for RAN4 to study chapter 21 of this RTCA DO-160G document to determine if its contents may or may not be of value to define MoP requirements for ATG UE.</w:t>
      </w:r>
    </w:p>
    <w:p w14:paraId="1C71734F" w14:textId="77777777" w:rsidR="003B1ACE" w:rsidRPr="008274A6" w:rsidRDefault="003B1ACE" w:rsidP="003B1ACE">
      <w:pPr>
        <w:spacing w:after="180"/>
        <w:jc w:val="both"/>
        <w:rPr>
          <w:b/>
          <w:bCs/>
        </w:rPr>
      </w:pPr>
      <w:r w:rsidRPr="002E2E35">
        <w:rPr>
          <w:b/>
          <w:bCs/>
        </w:rPr>
        <w:t>Proposal 1: RAN4 shall define an upper limit for M</w:t>
      </w:r>
      <w:r>
        <w:rPr>
          <w:b/>
          <w:bCs/>
        </w:rPr>
        <w:t>o</w:t>
      </w:r>
      <w:r w:rsidRPr="002E2E35">
        <w:rPr>
          <w:b/>
          <w:bCs/>
        </w:rPr>
        <w:t xml:space="preserve">P range. The value </w:t>
      </w:r>
      <w:r>
        <w:rPr>
          <w:b/>
          <w:bCs/>
        </w:rPr>
        <w:t xml:space="preserve">shall be decided based on the considerations of co-channel interference and related requirements. The existing standards such as RTCA DO-160G may be studied and referred if suitable. </w:t>
      </w:r>
    </w:p>
    <w:p w14:paraId="7DF2204E" w14:textId="77777777" w:rsidR="003B1ACE" w:rsidRPr="00450450" w:rsidRDefault="003B1ACE" w:rsidP="003B1ACE">
      <w:pPr>
        <w:spacing w:after="180"/>
        <w:jc w:val="both"/>
        <w:rPr>
          <w:b/>
          <w:bCs/>
        </w:rPr>
      </w:pPr>
      <w:r w:rsidRPr="006B1BF6">
        <w:rPr>
          <w:b/>
          <w:bCs/>
        </w:rPr>
        <w:t>Proposal 2: Do not define the tolerance in RAN4 specification when specify ATG UE MoP</w:t>
      </w:r>
      <w:r>
        <w:rPr>
          <w:b/>
          <w:bCs/>
        </w:rPr>
        <w:t xml:space="preserve"> requirements</w:t>
      </w:r>
      <w:r w:rsidRPr="006B1BF6">
        <w:rPr>
          <w:b/>
          <w:bCs/>
        </w:rPr>
        <w:t>.</w:t>
      </w:r>
    </w:p>
    <w:p w14:paraId="26B18566" w14:textId="77777777" w:rsidR="003B1ACE" w:rsidRPr="00B55AA3" w:rsidRDefault="003B1ACE" w:rsidP="003B1ACE">
      <w:pPr>
        <w:spacing w:after="180"/>
        <w:jc w:val="both"/>
        <w:rPr>
          <w:b/>
          <w:bCs/>
        </w:rPr>
      </w:pPr>
      <w:r w:rsidRPr="00B55AA3">
        <w:rPr>
          <w:b/>
          <w:bCs/>
        </w:rPr>
        <w:t>Proposal 3: RAN4 to consider the following options regarding RB configuration and MPR for ATG UE:</w:t>
      </w:r>
    </w:p>
    <w:p w14:paraId="035753D4" w14:textId="77777777" w:rsidR="003B1ACE" w:rsidRPr="00B55AA3" w:rsidRDefault="003B1ACE" w:rsidP="003B1ACE">
      <w:pPr>
        <w:pStyle w:val="ListParagraph"/>
        <w:numPr>
          <w:ilvl w:val="0"/>
          <w:numId w:val="2"/>
        </w:numPr>
        <w:spacing w:after="180"/>
        <w:jc w:val="both"/>
        <w:rPr>
          <w:b/>
          <w:bCs/>
        </w:rPr>
      </w:pPr>
      <w:r w:rsidRPr="00B55AA3">
        <w:rPr>
          <w:b/>
          <w:bCs/>
        </w:rPr>
        <w:t>Option 1: RB configurations should be declared or defined with power class</w:t>
      </w:r>
    </w:p>
    <w:p w14:paraId="4837A137" w14:textId="77777777" w:rsidR="003B1ACE" w:rsidRPr="00B55AA3" w:rsidRDefault="003B1ACE" w:rsidP="003B1ACE">
      <w:pPr>
        <w:pStyle w:val="ListParagraph"/>
        <w:numPr>
          <w:ilvl w:val="0"/>
          <w:numId w:val="2"/>
        </w:numPr>
        <w:spacing w:after="180"/>
        <w:jc w:val="both"/>
        <w:rPr>
          <w:b/>
          <w:bCs/>
        </w:rPr>
      </w:pPr>
      <w:r w:rsidRPr="00B55AA3">
        <w:rPr>
          <w:b/>
          <w:bCs/>
        </w:rPr>
        <w:t>Option 2:</w:t>
      </w:r>
    </w:p>
    <w:p w14:paraId="19309379" w14:textId="77777777" w:rsidR="003B1ACE" w:rsidRPr="00B55AA3" w:rsidRDefault="003B1ACE" w:rsidP="003B1ACE">
      <w:pPr>
        <w:pStyle w:val="ListParagraph"/>
        <w:numPr>
          <w:ilvl w:val="1"/>
          <w:numId w:val="2"/>
        </w:numPr>
        <w:spacing w:after="180"/>
        <w:jc w:val="both"/>
        <w:rPr>
          <w:b/>
          <w:bCs/>
        </w:rPr>
      </w:pPr>
      <w:r w:rsidRPr="00B55AA3">
        <w:rPr>
          <w:b/>
          <w:bCs/>
        </w:rPr>
        <w:t>Option 2a: Define the MPR values with different RB configurations</w:t>
      </w:r>
    </w:p>
    <w:p w14:paraId="1A673CCE" w14:textId="10A65F05" w:rsidR="00CE27C4" w:rsidRPr="003B1ACE" w:rsidRDefault="003B1ACE" w:rsidP="00782400">
      <w:pPr>
        <w:pStyle w:val="ListParagraph"/>
        <w:numPr>
          <w:ilvl w:val="1"/>
          <w:numId w:val="2"/>
        </w:numPr>
        <w:spacing w:after="180"/>
        <w:jc w:val="both"/>
        <w:rPr>
          <w:b/>
          <w:bCs/>
        </w:rPr>
      </w:pPr>
      <w:r w:rsidRPr="00B55AA3">
        <w:rPr>
          <w:b/>
          <w:bCs/>
        </w:rPr>
        <w:t>Option 2b: Reuse the legacy MRP values and RB configurations</w:t>
      </w:r>
    </w:p>
    <w:p w14:paraId="2C405132" w14:textId="77777777" w:rsidR="00CE27C4" w:rsidRDefault="00CE27C4" w:rsidP="00CE27C4">
      <w:pPr>
        <w:pStyle w:val="Heading1"/>
      </w:pPr>
      <w:r>
        <w:t>4 References</w:t>
      </w:r>
    </w:p>
    <w:p w14:paraId="3A77C095" w14:textId="7B5ECE37" w:rsidR="00CE27C4" w:rsidRDefault="00CE27C4" w:rsidP="00CE27C4">
      <w:pPr>
        <w:pStyle w:val="EX"/>
        <w:rPr>
          <w:sz w:val="22"/>
          <w:szCs w:val="22"/>
        </w:rPr>
      </w:pPr>
      <w:r w:rsidRPr="00E678A1">
        <w:rPr>
          <w:sz w:val="22"/>
          <w:szCs w:val="22"/>
        </w:rPr>
        <w:t>R4-2220543</w:t>
      </w:r>
      <w:r w:rsidRPr="00BC0314">
        <w:rPr>
          <w:sz w:val="22"/>
          <w:szCs w:val="22"/>
        </w:rPr>
        <w:t>, “</w:t>
      </w:r>
      <w:r w:rsidRPr="005530B7">
        <w:rPr>
          <w:sz w:val="22"/>
          <w:szCs w:val="22"/>
        </w:rPr>
        <w:t>WF on ATG terminal RF requirement</w:t>
      </w:r>
      <w:r w:rsidRPr="00BC0314">
        <w:rPr>
          <w:sz w:val="22"/>
          <w:szCs w:val="22"/>
        </w:rPr>
        <w:t xml:space="preserve">”, </w:t>
      </w:r>
      <w:r w:rsidRPr="00930A27">
        <w:rPr>
          <w:sz w:val="22"/>
          <w:szCs w:val="22"/>
        </w:rPr>
        <w:t>Huawei, HiSilicon</w:t>
      </w:r>
    </w:p>
    <w:p w14:paraId="7F1A04E5" w14:textId="6F12AFEF" w:rsidR="0060602E" w:rsidRPr="00BC0314" w:rsidRDefault="0060602E" w:rsidP="00CE27C4">
      <w:pPr>
        <w:pStyle w:val="EX"/>
        <w:rPr>
          <w:sz w:val="22"/>
          <w:szCs w:val="22"/>
        </w:rPr>
      </w:pPr>
      <w:r>
        <w:rPr>
          <w:sz w:val="22"/>
          <w:szCs w:val="22"/>
        </w:rPr>
        <w:t xml:space="preserve">RTCA </w:t>
      </w:r>
      <w:r w:rsidR="00274BD1">
        <w:rPr>
          <w:sz w:val="22"/>
          <w:szCs w:val="22"/>
        </w:rPr>
        <w:t>DO-</w:t>
      </w:r>
      <w:r>
        <w:rPr>
          <w:sz w:val="22"/>
          <w:szCs w:val="22"/>
        </w:rPr>
        <w:t>160</w:t>
      </w:r>
      <w:r w:rsidR="00274BD1">
        <w:rPr>
          <w:sz w:val="22"/>
          <w:szCs w:val="22"/>
        </w:rPr>
        <w:t xml:space="preserve">G website </w:t>
      </w:r>
      <w:r w:rsidR="00274BD1" w:rsidRPr="00274BD1">
        <w:rPr>
          <w:sz w:val="22"/>
          <w:szCs w:val="22"/>
        </w:rPr>
        <w:t>https://do160.org/rtca-do-160g/</w:t>
      </w:r>
    </w:p>
    <w:p w14:paraId="2A76D7C4" w14:textId="77777777" w:rsidR="00CE27C4" w:rsidRPr="00CE27C4" w:rsidRDefault="00CE27C4" w:rsidP="00782400">
      <w:pPr>
        <w:spacing w:after="180"/>
        <w:jc w:val="both"/>
        <w:rPr>
          <w:b/>
          <w:bCs/>
          <w:lang w:val="en-GB"/>
        </w:rPr>
      </w:pPr>
    </w:p>
    <w:sectPr w:rsidR="00CE27C4" w:rsidRPr="00CE27C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E2F0ED" w14:textId="77777777" w:rsidR="0080685C" w:rsidRDefault="0080685C" w:rsidP="009327CA">
      <w:r>
        <w:separator/>
      </w:r>
    </w:p>
  </w:endnote>
  <w:endnote w:type="continuationSeparator" w:id="0">
    <w:p w14:paraId="26E66240" w14:textId="77777777" w:rsidR="0080685C" w:rsidRDefault="0080685C" w:rsidP="009327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81A407" w14:textId="77777777" w:rsidR="0080685C" w:rsidRDefault="0080685C" w:rsidP="009327CA">
      <w:r>
        <w:separator/>
      </w:r>
    </w:p>
  </w:footnote>
  <w:footnote w:type="continuationSeparator" w:id="0">
    <w:p w14:paraId="0D77445A" w14:textId="77777777" w:rsidR="0080685C" w:rsidRDefault="0080685C" w:rsidP="009327C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2E4F80"/>
    <w:multiLevelType w:val="hybridMultilevel"/>
    <w:tmpl w:val="476098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8069BD"/>
    <w:multiLevelType w:val="hybridMultilevel"/>
    <w:tmpl w:val="80908D3C"/>
    <w:lvl w:ilvl="0" w:tplc="5E22C74A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AA52D7"/>
    <w:multiLevelType w:val="hybridMultilevel"/>
    <w:tmpl w:val="C7D26E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BAF0687"/>
    <w:multiLevelType w:val="hybridMultilevel"/>
    <w:tmpl w:val="27CAF3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FD507F8"/>
    <w:multiLevelType w:val="hybridMultilevel"/>
    <w:tmpl w:val="CC2AF3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14472718">
    <w:abstractNumId w:val="3"/>
  </w:num>
  <w:num w:numId="2" w16cid:durableId="1785421066">
    <w:abstractNumId w:val="2"/>
  </w:num>
  <w:num w:numId="3" w16cid:durableId="659848915">
    <w:abstractNumId w:val="1"/>
  </w:num>
  <w:num w:numId="4" w16cid:durableId="1138257569">
    <w:abstractNumId w:val="4"/>
  </w:num>
  <w:num w:numId="5" w16cid:durableId="18667458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40DB"/>
    <w:rsid w:val="00014033"/>
    <w:rsid w:val="00023D80"/>
    <w:rsid w:val="00025967"/>
    <w:rsid w:val="00027D1A"/>
    <w:rsid w:val="000323FC"/>
    <w:rsid w:val="00034965"/>
    <w:rsid w:val="000411EA"/>
    <w:rsid w:val="00041B49"/>
    <w:rsid w:val="00052A38"/>
    <w:rsid w:val="00056E4F"/>
    <w:rsid w:val="0006420E"/>
    <w:rsid w:val="00066591"/>
    <w:rsid w:val="00070E3F"/>
    <w:rsid w:val="00074056"/>
    <w:rsid w:val="000745B6"/>
    <w:rsid w:val="000827C8"/>
    <w:rsid w:val="00091B9A"/>
    <w:rsid w:val="00092D1F"/>
    <w:rsid w:val="000B06B9"/>
    <w:rsid w:val="000D0096"/>
    <w:rsid w:val="000D1670"/>
    <w:rsid w:val="000D1B63"/>
    <w:rsid w:val="000D7A00"/>
    <w:rsid w:val="000F2564"/>
    <w:rsid w:val="000F3C0D"/>
    <w:rsid w:val="00106059"/>
    <w:rsid w:val="0011004A"/>
    <w:rsid w:val="00152137"/>
    <w:rsid w:val="00161DC8"/>
    <w:rsid w:val="001662FD"/>
    <w:rsid w:val="00166734"/>
    <w:rsid w:val="001676CD"/>
    <w:rsid w:val="00173351"/>
    <w:rsid w:val="001830EE"/>
    <w:rsid w:val="001B5556"/>
    <w:rsid w:val="001C6C32"/>
    <w:rsid w:val="001D584A"/>
    <w:rsid w:val="001F3610"/>
    <w:rsid w:val="001F3A9E"/>
    <w:rsid w:val="001F4E6B"/>
    <w:rsid w:val="001F6871"/>
    <w:rsid w:val="00202C66"/>
    <w:rsid w:val="00203D71"/>
    <w:rsid w:val="00204478"/>
    <w:rsid w:val="0020613C"/>
    <w:rsid w:val="002075D4"/>
    <w:rsid w:val="00210401"/>
    <w:rsid w:val="00215FD0"/>
    <w:rsid w:val="00225571"/>
    <w:rsid w:val="002257E6"/>
    <w:rsid w:val="00226CC8"/>
    <w:rsid w:val="00227571"/>
    <w:rsid w:val="002440DB"/>
    <w:rsid w:val="00246E37"/>
    <w:rsid w:val="00251D10"/>
    <w:rsid w:val="002612DC"/>
    <w:rsid w:val="00261FED"/>
    <w:rsid w:val="00266FE0"/>
    <w:rsid w:val="00274BD1"/>
    <w:rsid w:val="0029149A"/>
    <w:rsid w:val="002A70C6"/>
    <w:rsid w:val="002B3D1C"/>
    <w:rsid w:val="002C28A5"/>
    <w:rsid w:val="002C2B74"/>
    <w:rsid w:val="002D7724"/>
    <w:rsid w:val="002E2E35"/>
    <w:rsid w:val="002F0470"/>
    <w:rsid w:val="0031561D"/>
    <w:rsid w:val="00315997"/>
    <w:rsid w:val="00333A86"/>
    <w:rsid w:val="0035279A"/>
    <w:rsid w:val="00356911"/>
    <w:rsid w:val="0035794E"/>
    <w:rsid w:val="003609BA"/>
    <w:rsid w:val="0036171D"/>
    <w:rsid w:val="0036292C"/>
    <w:rsid w:val="00377443"/>
    <w:rsid w:val="003829F2"/>
    <w:rsid w:val="00390B85"/>
    <w:rsid w:val="003A4159"/>
    <w:rsid w:val="003B1ACE"/>
    <w:rsid w:val="003C49E7"/>
    <w:rsid w:val="003D596D"/>
    <w:rsid w:val="003E6332"/>
    <w:rsid w:val="00417111"/>
    <w:rsid w:val="004175B4"/>
    <w:rsid w:val="00420600"/>
    <w:rsid w:val="00441371"/>
    <w:rsid w:val="00442610"/>
    <w:rsid w:val="004444CD"/>
    <w:rsid w:val="0044480F"/>
    <w:rsid w:val="00446BF8"/>
    <w:rsid w:val="00450450"/>
    <w:rsid w:val="00473E55"/>
    <w:rsid w:val="00474069"/>
    <w:rsid w:val="00477D04"/>
    <w:rsid w:val="00486CAB"/>
    <w:rsid w:val="00487B18"/>
    <w:rsid w:val="0049134B"/>
    <w:rsid w:val="004B3E07"/>
    <w:rsid w:val="004B4479"/>
    <w:rsid w:val="004B7A31"/>
    <w:rsid w:val="004C0396"/>
    <w:rsid w:val="004C294F"/>
    <w:rsid w:val="004C30D3"/>
    <w:rsid w:val="004D07E2"/>
    <w:rsid w:val="004D26F0"/>
    <w:rsid w:val="004D5B8E"/>
    <w:rsid w:val="004E0A47"/>
    <w:rsid w:val="004E1ADC"/>
    <w:rsid w:val="004F2007"/>
    <w:rsid w:val="004F23D7"/>
    <w:rsid w:val="004F3F19"/>
    <w:rsid w:val="004F4515"/>
    <w:rsid w:val="005040FC"/>
    <w:rsid w:val="005061D0"/>
    <w:rsid w:val="00512D20"/>
    <w:rsid w:val="00533C84"/>
    <w:rsid w:val="0054142E"/>
    <w:rsid w:val="00541A7F"/>
    <w:rsid w:val="00545CD3"/>
    <w:rsid w:val="00554005"/>
    <w:rsid w:val="00557718"/>
    <w:rsid w:val="00567F62"/>
    <w:rsid w:val="00573913"/>
    <w:rsid w:val="00586835"/>
    <w:rsid w:val="00595481"/>
    <w:rsid w:val="005A262C"/>
    <w:rsid w:val="005A310C"/>
    <w:rsid w:val="005B5B95"/>
    <w:rsid w:val="005B6DF0"/>
    <w:rsid w:val="005C2A33"/>
    <w:rsid w:val="005C784A"/>
    <w:rsid w:val="005D33C7"/>
    <w:rsid w:val="005E3EB3"/>
    <w:rsid w:val="005E4D9D"/>
    <w:rsid w:val="005F0D55"/>
    <w:rsid w:val="0060602E"/>
    <w:rsid w:val="00623188"/>
    <w:rsid w:val="00625F05"/>
    <w:rsid w:val="006326D8"/>
    <w:rsid w:val="00636BB3"/>
    <w:rsid w:val="00645F30"/>
    <w:rsid w:val="00646F9E"/>
    <w:rsid w:val="0064799D"/>
    <w:rsid w:val="00653448"/>
    <w:rsid w:val="00654129"/>
    <w:rsid w:val="00676D5C"/>
    <w:rsid w:val="00690FA3"/>
    <w:rsid w:val="006962E8"/>
    <w:rsid w:val="006B1BF6"/>
    <w:rsid w:val="006B50FB"/>
    <w:rsid w:val="006B5B4B"/>
    <w:rsid w:val="006F0749"/>
    <w:rsid w:val="006F3033"/>
    <w:rsid w:val="007011A8"/>
    <w:rsid w:val="00714008"/>
    <w:rsid w:val="0072743A"/>
    <w:rsid w:val="00730A90"/>
    <w:rsid w:val="00744142"/>
    <w:rsid w:val="007466FA"/>
    <w:rsid w:val="00772CFF"/>
    <w:rsid w:val="00782400"/>
    <w:rsid w:val="007848E4"/>
    <w:rsid w:val="00787850"/>
    <w:rsid w:val="0079102A"/>
    <w:rsid w:val="007B168D"/>
    <w:rsid w:val="007B1913"/>
    <w:rsid w:val="007B3E06"/>
    <w:rsid w:val="007D4D3B"/>
    <w:rsid w:val="007E22EA"/>
    <w:rsid w:val="007E29E5"/>
    <w:rsid w:val="007E6574"/>
    <w:rsid w:val="007F0E4F"/>
    <w:rsid w:val="007F4AB6"/>
    <w:rsid w:val="007F598C"/>
    <w:rsid w:val="00802FF8"/>
    <w:rsid w:val="0080685C"/>
    <w:rsid w:val="0081103B"/>
    <w:rsid w:val="008129A2"/>
    <w:rsid w:val="008274A6"/>
    <w:rsid w:val="008275DB"/>
    <w:rsid w:val="008376B6"/>
    <w:rsid w:val="00842377"/>
    <w:rsid w:val="0084515E"/>
    <w:rsid w:val="00853BA8"/>
    <w:rsid w:val="00857192"/>
    <w:rsid w:val="00864239"/>
    <w:rsid w:val="0086516D"/>
    <w:rsid w:val="00866E26"/>
    <w:rsid w:val="008A5666"/>
    <w:rsid w:val="008C216D"/>
    <w:rsid w:val="008C30BA"/>
    <w:rsid w:val="008C36B0"/>
    <w:rsid w:val="008C7D5D"/>
    <w:rsid w:val="008D554E"/>
    <w:rsid w:val="008D584A"/>
    <w:rsid w:val="008F59CC"/>
    <w:rsid w:val="009079BD"/>
    <w:rsid w:val="00921A84"/>
    <w:rsid w:val="00930CB2"/>
    <w:rsid w:val="00930D2D"/>
    <w:rsid w:val="00932611"/>
    <w:rsid w:val="009327CA"/>
    <w:rsid w:val="009454BE"/>
    <w:rsid w:val="00953BE0"/>
    <w:rsid w:val="009732D9"/>
    <w:rsid w:val="00981C6F"/>
    <w:rsid w:val="009846B6"/>
    <w:rsid w:val="009B2244"/>
    <w:rsid w:val="009B66F3"/>
    <w:rsid w:val="009C2AC5"/>
    <w:rsid w:val="009C5800"/>
    <w:rsid w:val="009C7171"/>
    <w:rsid w:val="009D7AD4"/>
    <w:rsid w:val="009E4992"/>
    <w:rsid w:val="009E68AB"/>
    <w:rsid w:val="009F346D"/>
    <w:rsid w:val="009F7566"/>
    <w:rsid w:val="00A027BD"/>
    <w:rsid w:val="00A17FBD"/>
    <w:rsid w:val="00A213FB"/>
    <w:rsid w:val="00A25B1B"/>
    <w:rsid w:val="00A27D3F"/>
    <w:rsid w:val="00A51F6A"/>
    <w:rsid w:val="00A524A3"/>
    <w:rsid w:val="00A631D2"/>
    <w:rsid w:val="00A6354A"/>
    <w:rsid w:val="00A66C49"/>
    <w:rsid w:val="00A67DE7"/>
    <w:rsid w:val="00A768EE"/>
    <w:rsid w:val="00A82986"/>
    <w:rsid w:val="00A85248"/>
    <w:rsid w:val="00AA1903"/>
    <w:rsid w:val="00AB6F46"/>
    <w:rsid w:val="00AC5E0D"/>
    <w:rsid w:val="00AC66EA"/>
    <w:rsid w:val="00AC6FA7"/>
    <w:rsid w:val="00AD42CC"/>
    <w:rsid w:val="00AF4776"/>
    <w:rsid w:val="00B308E6"/>
    <w:rsid w:val="00B3246A"/>
    <w:rsid w:val="00B437AE"/>
    <w:rsid w:val="00B44A63"/>
    <w:rsid w:val="00B44EB1"/>
    <w:rsid w:val="00B5109D"/>
    <w:rsid w:val="00B55AA3"/>
    <w:rsid w:val="00B6798B"/>
    <w:rsid w:val="00B87155"/>
    <w:rsid w:val="00B905B8"/>
    <w:rsid w:val="00B91076"/>
    <w:rsid w:val="00BA4C15"/>
    <w:rsid w:val="00BB20EF"/>
    <w:rsid w:val="00BD01CD"/>
    <w:rsid w:val="00BD34AA"/>
    <w:rsid w:val="00BD4815"/>
    <w:rsid w:val="00BE7A51"/>
    <w:rsid w:val="00BF09A8"/>
    <w:rsid w:val="00C01B53"/>
    <w:rsid w:val="00C02A8F"/>
    <w:rsid w:val="00C100F2"/>
    <w:rsid w:val="00C210CA"/>
    <w:rsid w:val="00C2315F"/>
    <w:rsid w:val="00C30DAD"/>
    <w:rsid w:val="00C33507"/>
    <w:rsid w:val="00C34D44"/>
    <w:rsid w:val="00C36A22"/>
    <w:rsid w:val="00C37B4D"/>
    <w:rsid w:val="00C40D71"/>
    <w:rsid w:val="00C4377F"/>
    <w:rsid w:val="00C571C8"/>
    <w:rsid w:val="00C72605"/>
    <w:rsid w:val="00C835C2"/>
    <w:rsid w:val="00C91CB9"/>
    <w:rsid w:val="00CC28B2"/>
    <w:rsid w:val="00CC548D"/>
    <w:rsid w:val="00CE27C4"/>
    <w:rsid w:val="00CE4343"/>
    <w:rsid w:val="00CF4DFB"/>
    <w:rsid w:val="00D31245"/>
    <w:rsid w:val="00D31485"/>
    <w:rsid w:val="00D35492"/>
    <w:rsid w:val="00D43E1B"/>
    <w:rsid w:val="00D45718"/>
    <w:rsid w:val="00D4745B"/>
    <w:rsid w:val="00D62B3E"/>
    <w:rsid w:val="00D67E69"/>
    <w:rsid w:val="00D73E87"/>
    <w:rsid w:val="00D75DCF"/>
    <w:rsid w:val="00D8100D"/>
    <w:rsid w:val="00D83416"/>
    <w:rsid w:val="00DA37DB"/>
    <w:rsid w:val="00DA4FBC"/>
    <w:rsid w:val="00DA6072"/>
    <w:rsid w:val="00DB38C8"/>
    <w:rsid w:val="00DC5015"/>
    <w:rsid w:val="00DE4128"/>
    <w:rsid w:val="00DE4B1A"/>
    <w:rsid w:val="00DE532F"/>
    <w:rsid w:val="00DE6B03"/>
    <w:rsid w:val="00DF1166"/>
    <w:rsid w:val="00E03E42"/>
    <w:rsid w:val="00E107BF"/>
    <w:rsid w:val="00E148F5"/>
    <w:rsid w:val="00E22901"/>
    <w:rsid w:val="00E2496B"/>
    <w:rsid w:val="00E33029"/>
    <w:rsid w:val="00E34E1C"/>
    <w:rsid w:val="00E41144"/>
    <w:rsid w:val="00E50CE4"/>
    <w:rsid w:val="00E6051D"/>
    <w:rsid w:val="00E72C6D"/>
    <w:rsid w:val="00E775CA"/>
    <w:rsid w:val="00E838DE"/>
    <w:rsid w:val="00E85F41"/>
    <w:rsid w:val="00E90B21"/>
    <w:rsid w:val="00E9287B"/>
    <w:rsid w:val="00EA6C79"/>
    <w:rsid w:val="00EB5B37"/>
    <w:rsid w:val="00EB6C2A"/>
    <w:rsid w:val="00EC6F64"/>
    <w:rsid w:val="00EF4E66"/>
    <w:rsid w:val="00EF6988"/>
    <w:rsid w:val="00F15A72"/>
    <w:rsid w:val="00F1655F"/>
    <w:rsid w:val="00F22ECA"/>
    <w:rsid w:val="00F30AC6"/>
    <w:rsid w:val="00F329F2"/>
    <w:rsid w:val="00F40B91"/>
    <w:rsid w:val="00F55291"/>
    <w:rsid w:val="00F60159"/>
    <w:rsid w:val="00F60472"/>
    <w:rsid w:val="00F62C3E"/>
    <w:rsid w:val="00F63686"/>
    <w:rsid w:val="00F8045C"/>
    <w:rsid w:val="00F82A81"/>
    <w:rsid w:val="00F83D59"/>
    <w:rsid w:val="00F85E06"/>
    <w:rsid w:val="00F93D91"/>
    <w:rsid w:val="00F94DEC"/>
    <w:rsid w:val="00F95591"/>
    <w:rsid w:val="00FA66B6"/>
    <w:rsid w:val="00FB67FF"/>
    <w:rsid w:val="00FC0A07"/>
    <w:rsid w:val="00FD09C6"/>
    <w:rsid w:val="00FD7F3C"/>
    <w:rsid w:val="00FE4A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."/>
  <w:listSeparator w:val=","/>
  <w14:docId w14:val="37916AEC"/>
  <w15:chartTrackingRefBased/>
  <w15:docId w15:val="{C41CDF80-6E24-4C63-9F2F-7799FC003D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327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next w:val="Normal"/>
    <w:link w:val="Heading1Char"/>
    <w:qFormat/>
    <w:rsid w:val="00AC66EA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hAnsi="Arial" w:cs="Times New Roman"/>
      <w:sz w:val="36"/>
      <w:szCs w:val="20"/>
      <w:lang w:val="en-GB" w:eastAsia="ko-KR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C66E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66E26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9327CA"/>
    <w:pPr>
      <w:tabs>
        <w:tab w:val="center" w:pos="4680"/>
        <w:tab w:val="right" w:pos="9360"/>
      </w:tabs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HeaderChar">
    <w:name w:val="Header Char"/>
    <w:basedOn w:val="DefaultParagraphFont"/>
    <w:link w:val="Header"/>
    <w:rsid w:val="009327CA"/>
  </w:style>
  <w:style w:type="paragraph" w:styleId="Footer">
    <w:name w:val="footer"/>
    <w:basedOn w:val="Normal"/>
    <w:link w:val="FooterChar"/>
    <w:uiPriority w:val="99"/>
    <w:unhideWhenUsed/>
    <w:rsid w:val="009327CA"/>
    <w:pPr>
      <w:tabs>
        <w:tab w:val="center" w:pos="4680"/>
        <w:tab w:val="right" w:pos="9360"/>
      </w:tabs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9327CA"/>
  </w:style>
  <w:style w:type="character" w:customStyle="1" w:styleId="Heading1Char">
    <w:name w:val="Heading 1 Char"/>
    <w:basedOn w:val="DefaultParagraphFont"/>
    <w:link w:val="Heading1"/>
    <w:rsid w:val="00AC66EA"/>
    <w:rPr>
      <w:rFonts w:ascii="Arial" w:hAnsi="Arial" w:cs="Times New Roman"/>
      <w:sz w:val="36"/>
      <w:szCs w:val="20"/>
      <w:lang w:val="en-GB" w:eastAsia="ko-KR"/>
    </w:rPr>
  </w:style>
  <w:style w:type="character" w:customStyle="1" w:styleId="Heading2Char">
    <w:name w:val="Heading 2 Char"/>
    <w:basedOn w:val="DefaultParagraphFont"/>
    <w:link w:val="Heading2"/>
    <w:uiPriority w:val="9"/>
    <w:rsid w:val="00AC66EA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ListParagraph">
    <w:name w:val="List Paragraph"/>
    <w:basedOn w:val="Normal"/>
    <w:uiPriority w:val="34"/>
    <w:qFormat/>
    <w:rsid w:val="004F23D7"/>
    <w:pPr>
      <w:ind w:left="720"/>
      <w:contextualSpacing/>
    </w:pPr>
  </w:style>
  <w:style w:type="paragraph" w:customStyle="1" w:styleId="EX">
    <w:name w:val="EX"/>
    <w:basedOn w:val="Normal"/>
    <w:rsid w:val="00CE27C4"/>
    <w:pPr>
      <w:keepLines/>
      <w:numPr>
        <w:numId w:val="3"/>
      </w:numPr>
      <w:spacing w:after="180"/>
    </w:pPr>
    <w:rPr>
      <w:sz w:val="20"/>
      <w:szCs w:val="20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0323F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323F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323FC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323F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323FC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7466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66E26"/>
    <w:rPr>
      <w:rFonts w:asciiTheme="majorHAnsi" w:eastAsiaTheme="majorEastAsia" w:hAnsiTheme="majorHAnsi" w:cstheme="majorBidi"/>
      <w:color w:val="2F5496" w:themeColor="accent1" w:themeShade="B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8351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32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99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emf"/><Relationship Id="rId5" Type="http://schemas.openxmlformats.org/officeDocument/2006/relationships/footnotes" Target="footnotes.xml"/><Relationship Id="rId10" Type="http://schemas.openxmlformats.org/officeDocument/2006/relationships/image" Target="media/image3.emf"/><Relationship Id="rId4" Type="http://schemas.openxmlformats.org/officeDocument/2006/relationships/webSettings" Target="web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5</Pages>
  <Words>1166</Words>
  <Characters>6652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Bin Han_Qualcomm</dc:creator>
  <cp:keywords/>
  <dc:description/>
  <cp:lastModifiedBy>Bin Han_Qualcomm</cp:lastModifiedBy>
  <cp:revision>48</cp:revision>
  <dcterms:created xsi:type="dcterms:W3CDTF">2023-02-16T10:48:00Z</dcterms:created>
  <dcterms:modified xsi:type="dcterms:W3CDTF">2023-02-17T12:21:00Z</dcterms:modified>
</cp:coreProperties>
</file>